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A430A" w14:textId="1DF784E1" w:rsidR="00455465" w:rsidRPr="00B55935" w:rsidRDefault="00455465" w:rsidP="00455465">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915AA3">
        <w:rPr>
          <w:rFonts w:ascii="Calibri" w:eastAsia="新細明體" w:hAnsi="Calibri" w:cs="Arial"/>
          <w:noProof w:val="0"/>
          <w:sz w:val="24"/>
          <w:szCs w:val="24"/>
          <w:lang w:eastAsia="ja-JP"/>
        </w:rPr>
        <w:t>5-e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8D2D16" w:rsidRPr="008D2D16">
        <w:rPr>
          <w:rFonts w:ascii="Calibri" w:eastAsia="新細明體" w:hAnsi="Calibri" w:cs="Arial"/>
          <w:noProof w:val="0"/>
          <w:sz w:val="24"/>
          <w:szCs w:val="24"/>
          <w:lang w:eastAsia="ja-JP"/>
        </w:rPr>
        <w:t>R4-2006574</w:t>
      </w:r>
    </w:p>
    <w:p w14:paraId="39EA9712" w14:textId="7013E735" w:rsidR="00455465" w:rsidRDefault="00915AA3" w:rsidP="00455465">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9C10A0">
        <w:rPr>
          <w:rFonts w:ascii="Calibri" w:eastAsia="新細明體" w:hAnsi="Calibri" w:cs="Arial"/>
          <w:b/>
          <w:sz w:val="24"/>
          <w:szCs w:val="24"/>
          <w:lang w:eastAsia="ja-JP"/>
        </w:rPr>
        <w:t>25 May – 5 June</w:t>
      </w:r>
      <w:r w:rsidRPr="00E05CF0">
        <w:rPr>
          <w:rFonts w:ascii="Calibri" w:eastAsia="新細明體" w:hAnsi="Calibri" w:cs="Arial"/>
          <w:b/>
          <w:sz w:val="24"/>
          <w:szCs w:val="24"/>
          <w:lang w:eastAsia="ja-JP"/>
        </w:rPr>
        <w:t>, 2020</w:t>
      </w:r>
    </w:p>
    <w:p w14:paraId="4704C3D7" w14:textId="77777777" w:rsidR="00324663" w:rsidRPr="002F29E4" w:rsidRDefault="00324663" w:rsidP="00324663">
      <w:pPr>
        <w:pStyle w:val="Header"/>
        <w:rPr>
          <w:rFonts w:ascii="Calibri" w:eastAsia="新細明體" w:hAnsi="Calibri"/>
          <w:sz w:val="24"/>
          <w:highlight w:val="yellow"/>
          <w:lang w:eastAsia="zh-TW"/>
        </w:rPr>
      </w:pPr>
    </w:p>
    <w:p w14:paraId="6352570E" w14:textId="2C4B6671" w:rsidR="00FB1EA3" w:rsidRPr="00F52EE4" w:rsidRDefault="00324663" w:rsidP="00324663">
      <w:pPr>
        <w:ind w:left="1985" w:hanging="1985"/>
        <w:rPr>
          <w:rFonts w:cs="Arial"/>
          <w:b/>
          <w:bCs/>
        </w:rPr>
      </w:pPr>
      <w:r w:rsidRPr="00C57C45">
        <w:rPr>
          <w:rFonts w:cs="Arial"/>
          <w:b/>
          <w:bCs/>
        </w:rPr>
        <w:t>Agenda Item:</w:t>
      </w:r>
      <w:r w:rsidR="00FB1EA3" w:rsidRPr="00C57C45">
        <w:rPr>
          <w:rFonts w:cs="Arial"/>
          <w:b/>
          <w:bCs/>
        </w:rPr>
        <w:tab/>
      </w:r>
      <w:r w:rsidR="00B70445" w:rsidRPr="007052AF">
        <w:rPr>
          <w:rFonts w:cs="Arial"/>
          <w:b/>
          <w:bCs/>
        </w:rPr>
        <w:t>6</w:t>
      </w:r>
      <w:r w:rsidR="00974EE8" w:rsidRPr="007052AF">
        <w:rPr>
          <w:rFonts w:cs="Arial"/>
          <w:b/>
          <w:bCs/>
        </w:rPr>
        <w:t>.16.1.</w:t>
      </w:r>
      <w:r w:rsidR="00925230" w:rsidRPr="007052AF">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8A65769" w:rsidR="00174EC2" w:rsidRDefault="0034111C" w:rsidP="007A4FCF">
      <w:pPr>
        <w:ind w:left="1985" w:hanging="1985"/>
        <w:rPr>
          <w:rFonts w:cs="Arial"/>
          <w:b/>
          <w:bCs/>
        </w:rPr>
      </w:pPr>
      <w:r w:rsidRPr="000C45FD">
        <w:rPr>
          <w:rFonts w:cs="Arial"/>
          <w:b/>
          <w:bCs/>
        </w:rPr>
        <w:t>Title:</w:t>
      </w:r>
      <w:r w:rsidRPr="000C45FD">
        <w:rPr>
          <w:rFonts w:cs="Arial"/>
          <w:b/>
          <w:bCs/>
        </w:rPr>
        <w:tab/>
      </w:r>
      <w:r w:rsidR="00925230" w:rsidRPr="00925230">
        <w:rPr>
          <w:rFonts w:cs="Arial"/>
          <w:b/>
          <w:bCs/>
        </w:rPr>
        <w:t>Discussion on measurement capability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17F43B" w14:textId="549E6756" w:rsidR="00A96897" w:rsidRDefault="00A96897"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An WF [1] was agreed in last meeting to capture agreements as well as open issues for further study. The open issues related to measurement capability are summarized below</w:t>
      </w:r>
    </w:p>
    <w:tbl>
      <w:tblPr>
        <w:tblStyle w:val="TableGrid"/>
        <w:tblW w:w="0" w:type="auto"/>
        <w:tblLook w:val="04A0" w:firstRow="1" w:lastRow="0" w:firstColumn="1" w:lastColumn="0" w:noHBand="0" w:noVBand="1"/>
      </w:tblPr>
      <w:tblGrid>
        <w:gridCol w:w="9629"/>
      </w:tblGrid>
      <w:tr w:rsidR="00A96897" w:rsidRPr="00A96897" w14:paraId="311D85AF" w14:textId="77777777" w:rsidTr="00A96897">
        <w:tc>
          <w:tcPr>
            <w:tcW w:w="9629" w:type="dxa"/>
          </w:tcPr>
          <w:p w14:paraId="59D70213" w14:textId="4B97CB46" w:rsidR="00A96897" w:rsidRPr="00A96897" w:rsidRDefault="00A96897" w:rsidP="00A96897">
            <w:pPr>
              <w:pStyle w:val="Default"/>
              <w:jc w:val="both"/>
              <w:rPr>
                <w:rFonts w:asciiTheme="minorHAnsi" w:eastAsiaTheme="minorEastAsia" w:hAnsiTheme="minorHAnsi" w:cstheme="minorBidi"/>
                <w:b/>
                <w:color w:val="auto"/>
                <w:sz w:val="18"/>
                <w:szCs w:val="22"/>
                <w:u w:val="single"/>
              </w:rPr>
            </w:pPr>
            <w:r w:rsidRPr="00A96897">
              <w:rPr>
                <w:rFonts w:asciiTheme="minorHAnsi" w:eastAsiaTheme="minorEastAsia" w:hAnsiTheme="minorHAnsi" w:cstheme="minorBidi"/>
                <w:b/>
                <w:color w:val="auto"/>
                <w:sz w:val="18"/>
                <w:szCs w:val="22"/>
                <w:u w:val="single"/>
              </w:rPr>
              <w:t>WF on assumption and applicability</w:t>
            </w:r>
          </w:p>
          <w:p w14:paraId="020E20FE"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Measurement capabilities per MO or per layer</w:t>
            </w:r>
          </w:p>
          <w:p w14:paraId="73145D61"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1: per frequency layer</w:t>
            </w:r>
          </w:p>
          <w:p w14:paraId="6F4F396A"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1a (CATT, Nokia): a frequency layer is identical to an MO </w:t>
            </w:r>
          </w:p>
          <w:p w14:paraId="4D5A8CEC"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1b (ZTE, Apple): One or multiple MOs can be one frequency layer.</w:t>
            </w:r>
          </w:p>
          <w:p w14:paraId="25DD057D"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2: per MO</w:t>
            </w:r>
          </w:p>
          <w:p w14:paraId="2B285864"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A frequency layer is identical to an MO </w:t>
            </w:r>
          </w:p>
          <w:p w14:paraId="45D3AED9"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3: Measurement capabilities per MO or per layer are the same, since single MO is configured per frequency layer, </w:t>
            </w:r>
          </w:p>
          <w:p w14:paraId="7D7A59E1"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lang w:eastAsia="zh-TW"/>
              </w:rPr>
              <w:t>CSI-RS resources in the same MO should have the same center frequency, SCS and CP type.</w:t>
            </w:r>
          </w:p>
          <w:p w14:paraId="47C8BAEA" w14:textId="7D3C3D5A" w:rsidR="00A96897" w:rsidRPr="00A96897" w:rsidRDefault="00A96897" w:rsidP="00A96897">
            <w:pPr>
              <w:pStyle w:val="Default"/>
              <w:jc w:val="both"/>
              <w:rPr>
                <w:rFonts w:asciiTheme="minorHAnsi" w:eastAsiaTheme="minorEastAsia" w:hAnsiTheme="minorHAnsi" w:cstheme="minorBidi"/>
                <w:b/>
                <w:color w:val="auto"/>
                <w:sz w:val="18"/>
                <w:szCs w:val="22"/>
                <w:u w:val="single"/>
              </w:rPr>
            </w:pPr>
            <w:r w:rsidRPr="00A96897">
              <w:rPr>
                <w:rFonts w:asciiTheme="minorHAnsi" w:eastAsiaTheme="minorEastAsia" w:hAnsiTheme="minorHAnsi" w:cstheme="minorBidi"/>
                <w:b/>
                <w:color w:val="auto"/>
                <w:sz w:val="18"/>
                <w:szCs w:val="22"/>
                <w:u w:val="single"/>
              </w:rPr>
              <w:t>WF on number of frequency layers to be monitored</w:t>
            </w:r>
          </w:p>
          <w:p w14:paraId="4DF03ED6"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CSI-RS based NR inter-frequency layers</w:t>
            </w:r>
          </w:p>
          <w:p w14:paraId="14A77D46"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1 (MediaTek, OPPO, Qualcomm, CATT, Apple, Huawei): </w:t>
            </w:r>
          </w:p>
          <w:p w14:paraId="787D9E9F"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UE shall be able to measure at least 7 NR frequency layers in total, including SSB frequency layers and CSI-RS frequency layers. </w:t>
            </w:r>
          </w:p>
          <w:p w14:paraId="063B42CF"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2 (CMCC): </w:t>
            </w:r>
          </w:p>
          <w:p w14:paraId="2A7EBB38"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UE shall be able to measure at least [3] CSI-RS frequency layers. </w:t>
            </w:r>
          </w:p>
          <w:p w14:paraId="5AE119C6"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UE shall be able to measure at least 8 NR frequency layers in total, including SSB frequency layers and CSI-RS frequency layers. </w:t>
            </w:r>
          </w:p>
          <w:p w14:paraId="08A6B73F"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3 (ZTE): </w:t>
            </w:r>
          </w:p>
          <w:p w14:paraId="7ED09817"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UE shall be able to measure at least [7] CSI-RS frequency layers</w:t>
            </w:r>
          </w:p>
          <w:p w14:paraId="2367B101" w14:textId="0D30B07A" w:rsidR="00A96897" w:rsidRPr="00A96897" w:rsidRDefault="00A96897" w:rsidP="00A96897">
            <w:pPr>
              <w:pStyle w:val="Default"/>
              <w:jc w:val="both"/>
              <w:rPr>
                <w:rFonts w:asciiTheme="minorHAnsi" w:eastAsiaTheme="minorEastAsia" w:hAnsiTheme="minorHAnsi" w:cstheme="minorBidi"/>
                <w:b/>
                <w:color w:val="auto"/>
                <w:sz w:val="18"/>
                <w:szCs w:val="22"/>
                <w:u w:val="single"/>
              </w:rPr>
            </w:pPr>
            <w:r w:rsidRPr="00A96897">
              <w:rPr>
                <w:rFonts w:asciiTheme="minorHAnsi" w:eastAsiaTheme="minorEastAsia" w:hAnsiTheme="minorHAnsi" w:cstheme="minorBidi"/>
                <w:b/>
                <w:color w:val="auto"/>
                <w:sz w:val="18"/>
                <w:szCs w:val="22"/>
                <w:u w:val="single"/>
              </w:rPr>
              <w:t>WF on number of cells to be monitored</w:t>
            </w:r>
          </w:p>
          <w:p w14:paraId="2FEB05F5"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1 (MediaTek, OPPO, Qualcomm, Nokia): Shared capability for CSI-RS&amp;SSB</w:t>
            </w:r>
          </w:p>
          <w:p w14:paraId="665059AC"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Number of monitored cells is determined by the UE capability based on SSB based measurements.</w:t>
            </w:r>
          </w:p>
          <w:p w14:paraId="338D1B3D"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2(Huawei, CATT, CMCC):  Separated capability for CSI-RS</w:t>
            </w:r>
          </w:p>
          <w:p w14:paraId="475AC163"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2a (Huawei): </w:t>
            </w:r>
          </w:p>
          <w:p w14:paraId="7FB9BEB7"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Re-use the SSB requirements for CSI-RS on number of cells UE shall monitor per layer.</w:t>
            </w:r>
          </w:p>
          <w:p w14:paraId="13D664D3"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2b (CMCC): </w:t>
            </w:r>
          </w:p>
          <w:p w14:paraId="22E6AD53"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For each intra-frequency layer, UE is capable of measuring [8] CSI-RS cell; </w:t>
            </w:r>
          </w:p>
          <w:p w14:paraId="06940540" w14:textId="77777777" w:rsidR="00A96897" w:rsidRPr="00A96897" w:rsidRDefault="00A96897" w:rsidP="00A96897">
            <w:pPr>
              <w:pStyle w:val="Default"/>
              <w:numPr>
                <w:ilvl w:val="2"/>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For each inter-frequency layer, UE is capable of measuring [4] CSI-RS cell.</w:t>
            </w:r>
          </w:p>
          <w:p w14:paraId="779A0F49"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3(ZTE): Capabilities for CSI-RS only and CSI-RS&amp;SSB</w:t>
            </w:r>
          </w:p>
          <w:p w14:paraId="6C4955B5"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14:paraId="5469FA10"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UE shall be capable of performing SSB and CSI-RS based measurements for at least [12] identified cells in FR1 for intra frequency measurement and at least [6] identified cells in FR1 for inter frequency measurement.</w:t>
            </w:r>
          </w:p>
          <w:p w14:paraId="00AB14A7"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UE shall be capable of performing CSI-RS based measurements for at least [9] identified cells in FR2 for intra frequency measurement and at least [6] identified cells in FR2 for inter frequency measurement.</w:t>
            </w:r>
          </w:p>
          <w:p w14:paraId="63E09F6F" w14:textId="6C4CE5DD" w:rsidR="00A96897" w:rsidRPr="00A96897" w:rsidRDefault="00A96897" w:rsidP="00A96897">
            <w:pPr>
              <w:pStyle w:val="Default"/>
              <w:jc w:val="both"/>
              <w:rPr>
                <w:rFonts w:asciiTheme="minorHAnsi" w:eastAsiaTheme="minorEastAsia" w:hAnsiTheme="minorHAnsi" w:cstheme="minorBidi"/>
                <w:b/>
                <w:color w:val="auto"/>
                <w:sz w:val="18"/>
                <w:szCs w:val="22"/>
                <w:u w:val="single"/>
              </w:rPr>
            </w:pPr>
            <w:r w:rsidRPr="00A96897">
              <w:rPr>
                <w:rFonts w:asciiTheme="minorHAnsi" w:eastAsiaTheme="minorEastAsia" w:hAnsiTheme="minorHAnsi" w:cstheme="minorBidi"/>
                <w:b/>
                <w:color w:val="auto"/>
                <w:sz w:val="18"/>
                <w:szCs w:val="22"/>
                <w:u w:val="single"/>
              </w:rPr>
              <w:t>WF on number of CSI-RS resource/beams to be monitored</w:t>
            </w:r>
          </w:p>
          <w:p w14:paraId="6BAC7582"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1(CATT, Huawei): UE shall monitor at least 32 CSI-RS resources per frequency layer </w:t>
            </w:r>
          </w:p>
          <w:p w14:paraId="5224FF20"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2(ZTE): Define different UE capability for different scenarios, and number of CSI-RS resources shall be monitored by UE,</w:t>
            </w:r>
          </w:p>
          <w:p w14:paraId="705C550D"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[24] CSI-RS resources for intra frequency measurements in FR1</w:t>
            </w:r>
          </w:p>
          <w:p w14:paraId="2137B92E"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[48] CSI-RS resources for intra frequency measurements in FR2,</w:t>
            </w:r>
          </w:p>
          <w:p w14:paraId="71C7CB16"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lastRenderedPageBreak/>
              <w:t>[16] CSI-RS resources for inter frequency measurements in FR1,</w:t>
            </w:r>
          </w:p>
          <w:p w14:paraId="18C6FFBC"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[24] CSI-RS resources for inter frequency measurements in FR2.</w:t>
            </w:r>
          </w:p>
          <w:p w14:paraId="254D82C6"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3 (MTK,OPPO, Apple): Requirements defined the same requirements as those for SSB </w:t>
            </w:r>
          </w:p>
          <w:p w14:paraId="299EB79A"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If network configures more CSI-RS resources in an MO than the UE measurement capability, the UE behavior is undefined.</w:t>
            </w:r>
          </w:p>
          <w:p w14:paraId="48F66856" w14:textId="6DA701B8"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For FR1, 14 and 7 CSI-RS resources for intra-f and inter-f, respectively. </w:t>
            </w:r>
          </w:p>
          <w:p w14:paraId="300D7978"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For FR2, 24 and 10 CSI-RS resources for intra- and inter-frequency, respectively and at least 1 CSI-RS resources per cell.</w:t>
            </w:r>
          </w:p>
          <w:p w14:paraId="0FF9BC59"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hint="eastAsia"/>
                <w:color w:val="auto"/>
                <w:sz w:val="18"/>
                <w:szCs w:val="22"/>
              </w:rPr>
              <w:t>Option 4 (CMCC, Huawei)</w:t>
            </w:r>
            <w:r w:rsidRPr="00A96897">
              <w:rPr>
                <w:rFonts w:asciiTheme="minorHAnsi" w:eastAsiaTheme="minorEastAsia" w:hAnsiTheme="minorHAnsi" w:cstheme="minorBidi" w:hint="eastAsia"/>
                <w:color w:val="auto"/>
                <w:sz w:val="18"/>
                <w:szCs w:val="22"/>
              </w:rPr>
              <w:t>：</w:t>
            </w:r>
          </w:p>
          <w:p w14:paraId="7ABB6E4E"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For each intra-frequency layer, the number of CSI-RS resource is proposed to be [32].</w:t>
            </w:r>
          </w:p>
          <w:p w14:paraId="0383AD96"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For each inter-frequency layer, the number of CSI-RS resource is proposed to be [24].</w:t>
            </w:r>
          </w:p>
          <w:p w14:paraId="3AF9F2D2" w14:textId="7FC76905" w:rsidR="00A96897" w:rsidRPr="00A96897" w:rsidRDefault="00A96897" w:rsidP="00A96897">
            <w:pPr>
              <w:pStyle w:val="Default"/>
              <w:jc w:val="both"/>
              <w:rPr>
                <w:rFonts w:asciiTheme="minorHAnsi" w:eastAsiaTheme="minorEastAsia" w:hAnsiTheme="minorHAnsi" w:cstheme="minorBidi"/>
                <w:b/>
                <w:color w:val="auto"/>
                <w:sz w:val="18"/>
                <w:szCs w:val="22"/>
                <w:u w:val="single"/>
              </w:rPr>
            </w:pPr>
            <w:r w:rsidRPr="00A96897">
              <w:rPr>
                <w:rFonts w:asciiTheme="minorHAnsi" w:eastAsiaTheme="minorEastAsia" w:hAnsiTheme="minorHAnsi" w:cstheme="minorBidi"/>
                <w:b/>
                <w:color w:val="auto"/>
                <w:sz w:val="18"/>
                <w:szCs w:val="22"/>
                <w:u w:val="single"/>
              </w:rPr>
              <w:t>WF on UE capability to indicate maximum CSI-RS resources in a slot per MO</w:t>
            </w:r>
          </w:p>
          <w:p w14:paraId="681775FF"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1(Huawei, MTK, OPPO): Introduce UE capability to indicate the maximum number of CSI-RS resources per MO in a slot.</w:t>
            </w:r>
          </w:p>
          <w:p w14:paraId="67169CDD"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2(ZTE): Not to define UE capability to indicate maximum CSI-RS resources in a slot per MO.</w:t>
            </w:r>
          </w:p>
          <w:p w14:paraId="698CB355"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 xml:space="preserve">Option 3(Qualcomm, Apple, Huawei): The total number of CSI resources that UE can monitor per slot should come from the UE capability maxNumberCSI-RS-RRM-RS-SINR. </w:t>
            </w:r>
          </w:p>
          <w:p w14:paraId="55C8B70B" w14:textId="77777777" w:rsidR="00A96897" w:rsidRPr="00A96897" w:rsidRDefault="00A96897" w:rsidP="00A96897">
            <w:pPr>
              <w:pStyle w:val="Default"/>
              <w:numPr>
                <w:ilvl w:val="1"/>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FFS how to split up</w:t>
            </w:r>
          </w:p>
          <w:p w14:paraId="102301CF" w14:textId="3AC33582" w:rsidR="00A96897" w:rsidRPr="00A96897" w:rsidRDefault="00A96897" w:rsidP="00A96897">
            <w:pPr>
              <w:pStyle w:val="Default"/>
              <w:jc w:val="both"/>
              <w:rPr>
                <w:rFonts w:asciiTheme="minorHAnsi" w:eastAsiaTheme="minorEastAsia" w:hAnsiTheme="minorHAnsi" w:cstheme="minorBidi"/>
                <w:b/>
                <w:color w:val="auto"/>
                <w:sz w:val="18"/>
                <w:szCs w:val="22"/>
                <w:u w:val="single"/>
              </w:rPr>
            </w:pPr>
            <w:r w:rsidRPr="00A96897">
              <w:rPr>
                <w:rFonts w:asciiTheme="minorHAnsi" w:eastAsiaTheme="minorEastAsia" w:hAnsiTheme="minorHAnsi" w:cstheme="minorBidi"/>
                <w:b/>
                <w:color w:val="auto"/>
                <w:sz w:val="18"/>
                <w:szCs w:val="22"/>
                <w:u w:val="single"/>
              </w:rPr>
              <w:t>WF on UE buffering and processing capability</w:t>
            </w:r>
          </w:p>
          <w:p w14:paraId="53A111F9" w14:textId="77777777"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1: Introduce UE capability on the minimum separation between two slots with CSI-RS resources.</w:t>
            </w:r>
          </w:p>
          <w:p w14:paraId="6354390D" w14:textId="13CEFFCA" w:rsidR="00A96897" w:rsidRPr="00A96897" w:rsidRDefault="00A96897" w:rsidP="00A96897">
            <w:pPr>
              <w:pStyle w:val="Default"/>
              <w:numPr>
                <w:ilvl w:val="0"/>
                <w:numId w:val="15"/>
              </w:numPr>
              <w:jc w:val="both"/>
              <w:rPr>
                <w:rFonts w:asciiTheme="minorHAnsi" w:eastAsiaTheme="minorEastAsia" w:hAnsiTheme="minorHAnsi" w:cstheme="minorBidi"/>
                <w:color w:val="auto"/>
                <w:sz w:val="18"/>
                <w:szCs w:val="22"/>
              </w:rPr>
            </w:pPr>
            <w:r w:rsidRPr="00A96897">
              <w:rPr>
                <w:rFonts w:asciiTheme="minorHAnsi" w:eastAsiaTheme="minorEastAsia" w:hAnsiTheme="minorHAnsi" w:cstheme="minorBidi"/>
                <w:color w:val="auto"/>
                <w:sz w:val="18"/>
                <w:szCs w:val="22"/>
              </w:rPr>
              <w:t>Option 2: Not to introduce UE capability on the minimum separation between two slots with CSI-RS resources.</w:t>
            </w:r>
          </w:p>
        </w:tc>
      </w:tr>
    </w:tbl>
    <w:p w14:paraId="1E01508E" w14:textId="77777777" w:rsidR="00A96897" w:rsidRDefault="00A96897" w:rsidP="00BD754F">
      <w:pPr>
        <w:pStyle w:val="Default"/>
        <w:jc w:val="both"/>
        <w:rPr>
          <w:rFonts w:asciiTheme="minorHAnsi" w:eastAsiaTheme="minorEastAsia" w:hAnsiTheme="minorHAnsi" w:cstheme="minorBidi"/>
          <w:color w:val="auto"/>
          <w:sz w:val="22"/>
          <w:szCs w:val="22"/>
        </w:rPr>
      </w:pPr>
    </w:p>
    <w:p w14:paraId="5E7E7A98" w14:textId="52420143"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express our view on </w:t>
      </w:r>
      <w:r w:rsidR="00A96897">
        <w:rPr>
          <w:rFonts w:asciiTheme="minorHAnsi" w:eastAsiaTheme="minorEastAsia" w:hAnsiTheme="minorHAnsi" w:cstheme="minorBidi"/>
          <w:color w:val="auto"/>
          <w:sz w:val="22"/>
          <w:szCs w:val="22"/>
        </w:rPr>
        <w:t>individual</w:t>
      </w:r>
      <w:r>
        <w:rPr>
          <w:rFonts w:asciiTheme="minorHAnsi" w:eastAsiaTheme="minorEastAsia" w:hAnsiTheme="minorHAnsi" w:cstheme="minorBidi"/>
          <w:color w:val="auto"/>
          <w:sz w:val="22"/>
          <w:szCs w:val="22"/>
        </w:rPr>
        <w:t xml:space="preserve"> issue</w:t>
      </w:r>
      <w:r w:rsidR="00A96897">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56CAEF38" w14:textId="1CD1A4CD" w:rsidR="00A96897" w:rsidRPr="00E35108" w:rsidRDefault="00E35108" w:rsidP="00A96897">
      <w:pPr>
        <w:jc w:val="both"/>
        <w:rPr>
          <w:rFonts w:cstheme="minorHAnsi"/>
          <w:b/>
          <w:u w:val="single"/>
        </w:rPr>
      </w:pPr>
      <w:r w:rsidRPr="00E35108">
        <w:rPr>
          <w:rFonts w:cstheme="minorHAnsi"/>
          <w:b/>
          <w:u w:val="single"/>
        </w:rPr>
        <w:t>A</w:t>
      </w:r>
      <w:r w:rsidR="00A96897" w:rsidRPr="00E35108">
        <w:rPr>
          <w:rFonts w:cstheme="minorHAnsi"/>
          <w:b/>
          <w:u w:val="single"/>
        </w:rPr>
        <w:t>ssumption and applicability</w:t>
      </w:r>
    </w:p>
    <w:p w14:paraId="6970450C" w14:textId="61AB862A" w:rsidR="007804C7" w:rsidRDefault="007804C7" w:rsidP="00A96897">
      <w:pPr>
        <w:jc w:val="both"/>
        <w:rPr>
          <w:rFonts w:eastAsia="新細明體" w:cstheme="minorHAnsi"/>
        </w:rPr>
      </w:pPr>
      <w:r>
        <w:rPr>
          <w:rFonts w:eastAsia="新細明體" w:cstheme="minorHAnsi"/>
        </w:rPr>
        <w:t xml:space="preserve">In our understanding, Options 1a, 2 and 3 are essentially the same. One </w:t>
      </w:r>
      <w:r w:rsidRPr="007804C7">
        <w:rPr>
          <w:rFonts w:eastAsia="新細明體" w:cstheme="minorHAnsi"/>
        </w:rPr>
        <w:t>frequency layer is identical to an MO</w:t>
      </w:r>
      <w:r>
        <w:rPr>
          <w:rFonts w:eastAsia="新細明體" w:cstheme="minorHAnsi"/>
        </w:rPr>
        <w:t xml:space="preserve">. We believe that this also the assumption RAN4 adopted when </w:t>
      </w:r>
      <w:r w:rsidR="009E031D">
        <w:rPr>
          <w:rFonts w:eastAsia="新細明體" w:cstheme="minorHAnsi"/>
        </w:rPr>
        <w:t>specifying</w:t>
      </w:r>
      <w:r>
        <w:rPr>
          <w:rFonts w:eastAsia="新細明體" w:cstheme="minorHAnsi"/>
        </w:rPr>
        <w:t xml:space="preserve"> SSB measurements. </w:t>
      </w:r>
    </w:p>
    <w:p w14:paraId="76A85B83" w14:textId="52742B96" w:rsidR="00E35108" w:rsidRDefault="007804C7" w:rsidP="00A96897">
      <w:pPr>
        <w:jc w:val="both"/>
        <w:rPr>
          <w:rFonts w:eastAsia="新細明體" w:cstheme="minorHAnsi"/>
        </w:rPr>
      </w:pPr>
      <w:r>
        <w:rPr>
          <w:rFonts w:eastAsia="新細明體" w:cstheme="minorHAnsi"/>
        </w:rPr>
        <w:t>We also found that this definition impacts not only in the session of measurement capability, but also the section for CSSF values. Specifically, the requirements of CSSF is specifi</w:t>
      </w:r>
      <w:r w:rsidR="003965B3">
        <w:rPr>
          <w:rFonts w:eastAsia="新細明體" w:cstheme="minorHAnsi"/>
        </w:rPr>
        <w:t xml:space="preserve">ed based on the configured MOs, while measurement capability are specified in terms of inter-frequency layer. </w:t>
      </w:r>
      <w:r w:rsidR="009E031D">
        <w:rPr>
          <w:rFonts w:eastAsia="新細明體" w:cstheme="minorHAnsi"/>
        </w:rPr>
        <w:t>I</w:t>
      </w:r>
      <w:r w:rsidR="009E031D">
        <w:rPr>
          <w:rFonts w:eastAsia="新細明體" w:cstheme="minorHAnsi"/>
        </w:rPr>
        <w:t>f one inter-frequency does not equal one MO</w:t>
      </w:r>
      <w:r>
        <w:rPr>
          <w:rFonts w:eastAsia="新細明體" w:cstheme="minorHAnsi"/>
        </w:rPr>
        <w:t>, spec will have the contradiction.</w:t>
      </w:r>
      <w:r w:rsidR="003965B3">
        <w:rPr>
          <w:rFonts w:eastAsia="新細明體" w:cstheme="minorHAnsi"/>
        </w:rPr>
        <w:t xml:space="preserve"> </w:t>
      </w:r>
    </w:p>
    <w:p w14:paraId="0B0A72C1" w14:textId="091F845F" w:rsidR="003965B3" w:rsidRDefault="003965B3" w:rsidP="003965B3">
      <w:pPr>
        <w:pStyle w:val="Caption"/>
      </w:pPr>
      <w:bookmarkStart w:id="1" w:name="_Ref40010802"/>
      <w:r>
        <w:t xml:space="preserve">Proposal </w:t>
      </w:r>
      <w:r w:rsidR="00D77297">
        <w:rPr>
          <w:noProof/>
        </w:rPr>
        <w:fldChar w:fldCharType="begin"/>
      </w:r>
      <w:r w:rsidR="00D77297">
        <w:rPr>
          <w:noProof/>
        </w:rPr>
        <w:instrText xml:space="preserve"> SEQ Proposal \* ARABIC </w:instrText>
      </w:r>
      <w:r w:rsidR="00D77297">
        <w:rPr>
          <w:noProof/>
        </w:rPr>
        <w:fldChar w:fldCharType="separate"/>
      </w:r>
      <w:r w:rsidR="00BA5F3D">
        <w:rPr>
          <w:noProof/>
        </w:rPr>
        <w:t>1</w:t>
      </w:r>
      <w:r w:rsidR="00D77297">
        <w:rPr>
          <w:noProof/>
        </w:rPr>
        <w:fldChar w:fldCharType="end"/>
      </w:r>
      <w:r>
        <w:t>: One MO is one frequency layer. Different MOs are different frequency layers.</w:t>
      </w:r>
      <w:bookmarkEnd w:id="1"/>
    </w:p>
    <w:p w14:paraId="2AE10000" w14:textId="77777777" w:rsidR="003965B3" w:rsidRPr="003965B3" w:rsidRDefault="003965B3" w:rsidP="003965B3">
      <w:pPr>
        <w:rPr>
          <w:lang w:val="x-none" w:eastAsia="x-none"/>
        </w:rPr>
      </w:pPr>
    </w:p>
    <w:p w14:paraId="5E2A5982" w14:textId="012F72F2" w:rsidR="00A96897" w:rsidRPr="00E35108" w:rsidRDefault="00E35108" w:rsidP="00A96897">
      <w:pPr>
        <w:jc w:val="both"/>
        <w:rPr>
          <w:rFonts w:cstheme="minorHAnsi"/>
          <w:b/>
          <w:u w:val="single"/>
        </w:rPr>
      </w:pPr>
      <w:r w:rsidRPr="00E35108">
        <w:rPr>
          <w:rFonts w:cstheme="minorHAnsi"/>
          <w:b/>
          <w:u w:val="single"/>
        </w:rPr>
        <w:t>N</w:t>
      </w:r>
      <w:r w:rsidR="00A96897" w:rsidRPr="00E35108">
        <w:rPr>
          <w:rFonts w:cstheme="minorHAnsi"/>
          <w:b/>
          <w:u w:val="single"/>
        </w:rPr>
        <w:t>umber of frequency layers to be monitored</w:t>
      </w:r>
    </w:p>
    <w:p w14:paraId="70F99843" w14:textId="671F73F3" w:rsidR="00E35108" w:rsidRDefault="008A2AF5" w:rsidP="00A96897">
      <w:pPr>
        <w:jc w:val="both"/>
        <w:rPr>
          <w:rFonts w:eastAsia="新細明體" w:cstheme="minorHAnsi"/>
        </w:rPr>
      </w:pPr>
      <w:r>
        <w:rPr>
          <w:rFonts w:eastAsia="新細明體" w:cstheme="minorHAnsi"/>
        </w:rPr>
        <w:t>In WF [1], RAN4 has the agreement to only define requirements for CSI-RS with associated SSB.</w:t>
      </w:r>
    </w:p>
    <w:tbl>
      <w:tblPr>
        <w:tblStyle w:val="TableGrid"/>
        <w:tblW w:w="0" w:type="auto"/>
        <w:tblInd w:w="284" w:type="dxa"/>
        <w:tblLook w:val="04A0" w:firstRow="1" w:lastRow="0" w:firstColumn="1" w:lastColumn="0" w:noHBand="0" w:noVBand="1"/>
      </w:tblPr>
      <w:tblGrid>
        <w:gridCol w:w="9345"/>
      </w:tblGrid>
      <w:tr w:rsidR="008A2AF5" w14:paraId="55EF04ED" w14:textId="77777777" w:rsidTr="008A2AF5">
        <w:tc>
          <w:tcPr>
            <w:tcW w:w="9629" w:type="dxa"/>
          </w:tcPr>
          <w:p w14:paraId="185F061E" w14:textId="77777777" w:rsidR="008A2AF5" w:rsidRPr="008A2AF5" w:rsidRDefault="008A2AF5" w:rsidP="008A2AF5">
            <w:pPr>
              <w:jc w:val="both"/>
              <w:rPr>
                <w:rFonts w:eastAsia="新細明體" w:cstheme="minorHAnsi"/>
              </w:rPr>
            </w:pPr>
            <w:r w:rsidRPr="008A2AF5">
              <w:rPr>
                <w:rFonts w:eastAsia="新細明體" w:cstheme="minorHAnsi"/>
              </w:rPr>
              <w:t>Agreement</w:t>
            </w:r>
          </w:p>
          <w:p w14:paraId="107A7715" w14:textId="77777777" w:rsidR="008A2AF5" w:rsidRPr="008A2AF5" w:rsidRDefault="008A2AF5" w:rsidP="008A2AF5">
            <w:pPr>
              <w:pStyle w:val="ListParagraph"/>
              <w:numPr>
                <w:ilvl w:val="0"/>
                <w:numId w:val="16"/>
              </w:numPr>
              <w:jc w:val="both"/>
              <w:rPr>
                <w:rFonts w:eastAsia="新細明體" w:cstheme="minorHAnsi"/>
              </w:rPr>
            </w:pPr>
            <w:r w:rsidRPr="008A2AF5">
              <w:rPr>
                <w:rFonts w:eastAsia="新細明體" w:cstheme="minorHAnsi"/>
              </w:rPr>
              <w:t xml:space="preserve">Requirements shall be defined when CSI-RS is configured with an associated SSB. </w:t>
            </w:r>
          </w:p>
          <w:p w14:paraId="54BC46A5" w14:textId="45370D5C" w:rsidR="008A2AF5" w:rsidRPr="008A2AF5" w:rsidRDefault="008A2AF5" w:rsidP="008A2AF5">
            <w:pPr>
              <w:pStyle w:val="ListParagraph"/>
              <w:numPr>
                <w:ilvl w:val="0"/>
                <w:numId w:val="16"/>
              </w:numPr>
              <w:jc w:val="both"/>
              <w:rPr>
                <w:rFonts w:eastAsia="新細明體" w:cstheme="minorHAnsi"/>
              </w:rPr>
            </w:pPr>
            <w:r w:rsidRPr="008A2AF5">
              <w:rPr>
                <w:rFonts w:eastAsia="新細明體" w:cstheme="minorHAnsi"/>
              </w:rPr>
              <w:t>No requirements in Rel-16 for the case associatedSSB is not configured for CSI-RS</w:t>
            </w:r>
          </w:p>
        </w:tc>
      </w:tr>
    </w:tbl>
    <w:p w14:paraId="1D5BDA4F" w14:textId="328D8F2F" w:rsidR="007122E1" w:rsidRDefault="007122E1" w:rsidP="007122E1">
      <w:pPr>
        <w:jc w:val="both"/>
        <w:rPr>
          <w:rFonts w:cstheme="minorHAnsi"/>
        </w:rPr>
      </w:pPr>
      <w:r>
        <w:rPr>
          <w:rFonts w:cstheme="minorHAnsi"/>
        </w:rPr>
        <w:t xml:space="preserve">According to the </w:t>
      </w:r>
      <w:r w:rsidR="009E031D">
        <w:rPr>
          <w:rFonts w:cstheme="minorHAnsi"/>
        </w:rPr>
        <w:t>IE</w:t>
      </w:r>
      <w:r>
        <w:rPr>
          <w:rFonts w:cstheme="minorHAnsi"/>
        </w:rPr>
        <w:t xml:space="preserve"> description of </w:t>
      </w:r>
      <w:r w:rsidRPr="00F3456B">
        <w:rPr>
          <w:rFonts w:ascii="Times New Roman" w:hAnsi="Times New Roman" w:cs="Times New Roman"/>
          <w:i/>
        </w:rPr>
        <w:t>associatedSSB</w:t>
      </w:r>
      <w:r>
        <w:rPr>
          <w:rFonts w:cstheme="minorHAnsi"/>
        </w:rPr>
        <w:t xml:space="preserve"> (when present, as captured below), </w:t>
      </w:r>
      <w:r w:rsidRPr="007122E1">
        <w:rPr>
          <w:rFonts w:cstheme="minorHAnsi"/>
        </w:rPr>
        <w:t>UE is not required to monitor that CSI-RS resource if the UE cannot detect the SS/PBCH block indicated</w:t>
      </w:r>
      <w:r>
        <w:rPr>
          <w:rFonts w:cstheme="minorHAnsi"/>
        </w:rPr>
        <w:t xml:space="preserve"> by this associatedSSB and cell I</w:t>
      </w:r>
      <w:r w:rsidR="009E031D">
        <w:rPr>
          <w:rFonts w:cstheme="minorHAnsi"/>
        </w:rPr>
        <w:t>D</w:t>
      </w:r>
      <w:r>
        <w:rPr>
          <w:rFonts w:cstheme="minorHAnsi"/>
        </w:rPr>
        <w:t xml:space="preserve">. Therefore, before measuring the CSI-RS, UE has to perform SSB-based cell search to confirm whether to associated SSB and the Cell ID are detectable. In other words, SSB-based cell search is </w:t>
      </w:r>
      <w:r>
        <w:rPr>
          <w:rFonts w:cs="Arial"/>
        </w:rPr>
        <w:t>p</w:t>
      </w:r>
      <w:r w:rsidRPr="003E50DD">
        <w:rPr>
          <w:rFonts w:cs="Arial"/>
        </w:rPr>
        <w:t>rerequisite</w:t>
      </w:r>
      <w:r>
        <w:rPr>
          <w:rFonts w:cs="Arial"/>
        </w:rPr>
        <w:t xml:space="preserve"> for CSI-RS based measurement. </w:t>
      </w:r>
    </w:p>
    <w:tbl>
      <w:tblPr>
        <w:tblStyle w:val="TableGrid"/>
        <w:tblW w:w="0" w:type="auto"/>
        <w:tblInd w:w="284" w:type="dxa"/>
        <w:tblLook w:val="04A0" w:firstRow="1" w:lastRow="0" w:firstColumn="1" w:lastColumn="0" w:noHBand="0" w:noVBand="1"/>
      </w:tblPr>
      <w:tblGrid>
        <w:gridCol w:w="9345"/>
      </w:tblGrid>
      <w:tr w:rsidR="007122E1" w:rsidRPr="00F3456B" w14:paraId="28B0B525" w14:textId="77777777" w:rsidTr="00EE0023">
        <w:tc>
          <w:tcPr>
            <w:tcW w:w="9629" w:type="dxa"/>
          </w:tcPr>
          <w:p w14:paraId="67D2BC66" w14:textId="77777777" w:rsidR="007122E1" w:rsidRPr="00F3456B" w:rsidRDefault="007122E1" w:rsidP="00EE0023">
            <w:pPr>
              <w:overflowPunct w:val="0"/>
              <w:spacing w:after="0" w:line="240" w:lineRule="auto"/>
              <w:rPr>
                <w:rFonts w:ascii="Times New Roman" w:eastAsia="Times New Roman" w:hAnsi="Times New Roman" w:cs="Times New Roman"/>
                <w:sz w:val="20"/>
                <w:szCs w:val="20"/>
              </w:rPr>
            </w:pPr>
            <w:r w:rsidRPr="00F3456B">
              <w:rPr>
                <w:rFonts w:ascii="Arial" w:eastAsia="Times New Roman" w:hAnsi="Arial" w:cs="Arial"/>
                <w:b/>
                <w:bCs/>
                <w:i/>
                <w:iCs/>
                <w:kern w:val="24"/>
                <w:sz w:val="20"/>
                <w:szCs w:val="20"/>
                <w:lang w:val="en-GB"/>
              </w:rPr>
              <w:t>associatedSSB</w:t>
            </w:r>
          </w:p>
          <w:p w14:paraId="1A927BA2" w14:textId="77777777" w:rsidR="007122E1" w:rsidRPr="00F3456B" w:rsidRDefault="007122E1" w:rsidP="00EE0023">
            <w:pPr>
              <w:overflowPunct w:val="0"/>
              <w:spacing w:after="0" w:line="240" w:lineRule="auto"/>
              <w:rPr>
                <w:rFonts w:ascii="Times New Roman" w:eastAsia="Times New Roman" w:hAnsi="Times New Roman" w:cs="Times New Roman"/>
                <w:sz w:val="20"/>
                <w:szCs w:val="20"/>
              </w:rPr>
            </w:pPr>
            <w:r w:rsidRPr="00F3456B">
              <w:rPr>
                <w:rFonts w:ascii="Times New Roman" w:eastAsia="Times New Roman" w:hAnsi="Times New Roman" w:cs="Times New Roman"/>
                <w:kern w:val="24"/>
                <w:sz w:val="20"/>
                <w:szCs w:val="20"/>
                <w:lang w:val="en-GB"/>
              </w:rPr>
              <w:t xml:space="preserve">If this field is present, </w:t>
            </w:r>
          </w:p>
          <w:p w14:paraId="009DC2E2" w14:textId="77777777" w:rsidR="007122E1" w:rsidRPr="007122E1" w:rsidRDefault="007122E1" w:rsidP="007122E1">
            <w:pPr>
              <w:numPr>
                <w:ilvl w:val="1"/>
                <w:numId w:val="17"/>
              </w:numPr>
              <w:overflowPunct w:val="0"/>
              <w:spacing w:after="0" w:line="240" w:lineRule="auto"/>
              <w:ind w:left="737"/>
              <w:contextualSpacing/>
              <w:rPr>
                <w:rFonts w:ascii="Times New Roman" w:eastAsia="Times New Roman" w:hAnsi="Times New Roman" w:cs="Times New Roman"/>
                <w:sz w:val="20"/>
                <w:szCs w:val="20"/>
              </w:rPr>
            </w:pPr>
            <w:r w:rsidRPr="007122E1">
              <w:rPr>
                <w:rFonts w:ascii="Times New Roman" w:eastAsia="Times New Roman" w:hAnsi="Times New Roman" w:cs="Times New Roman"/>
                <w:kern w:val="24"/>
                <w:sz w:val="20"/>
                <w:szCs w:val="20"/>
                <w:lang w:val="en-GB"/>
              </w:rPr>
              <w:t xml:space="preserve">the UE may base the timing of the CSI-RS resource indicated in </w:t>
            </w:r>
            <w:r w:rsidRPr="007122E1">
              <w:rPr>
                <w:rFonts w:ascii="Times New Roman" w:eastAsia="Times New Roman" w:hAnsi="Times New Roman" w:cs="Times New Roman"/>
                <w:i/>
                <w:iCs/>
                <w:kern w:val="24"/>
                <w:sz w:val="20"/>
                <w:szCs w:val="20"/>
                <w:lang w:val="en-GB"/>
              </w:rPr>
              <w:t xml:space="preserve">CSI-RS-Resource-Mobility </w:t>
            </w:r>
            <w:r w:rsidRPr="007122E1">
              <w:rPr>
                <w:rFonts w:ascii="Times New Roman" w:eastAsia="Times New Roman" w:hAnsi="Times New Roman" w:cs="Times New Roman"/>
                <w:kern w:val="24"/>
                <w:sz w:val="20"/>
                <w:szCs w:val="20"/>
                <w:lang w:val="en-GB"/>
              </w:rPr>
              <w:t xml:space="preserve">on the timing of the cell indicated by the </w:t>
            </w:r>
            <w:r w:rsidRPr="007122E1">
              <w:rPr>
                <w:rFonts w:ascii="Times New Roman" w:eastAsia="Times New Roman" w:hAnsi="Times New Roman" w:cs="Times New Roman"/>
                <w:i/>
                <w:iCs/>
                <w:kern w:val="24"/>
                <w:sz w:val="20"/>
                <w:szCs w:val="20"/>
                <w:lang w:val="en-GB"/>
              </w:rPr>
              <w:t xml:space="preserve">cellId </w:t>
            </w:r>
            <w:r w:rsidRPr="007122E1">
              <w:rPr>
                <w:rFonts w:ascii="Times New Roman" w:eastAsia="Times New Roman" w:hAnsi="Times New Roman" w:cs="Times New Roman"/>
                <w:kern w:val="24"/>
                <w:sz w:val="20"/>
                <w:szCs w:val="20"/>
                <w:lang w:val="en-GB"/>
              </w:rPr>
              <w:t xml:space="preserve">in the </w:t>
            </w:r>
            <w:r w:rsidRPr="007122E1">
              <w:rPr>
                <w:rFonts w:ascii="Times New Roman" w:eastAsia="Times New Roman" w:hAnsi="Times New Roman" w:cs="Times New Roman"/>
                <w:i/>
                <w:iCs/>
                <w:kern w:val="24"/>
                <w:sz w:val="20"/>
                <w:szCs w:val="20"/>
                <w:lang w:val="en-GB"/>
              </w:rPr>
              <w:t>CSI-RS-CellMobility</w:t>
            </w:r>
            <w:r w:rsidRPr="007122E1">
              <w:rPr>
                <w:rFonts w:ascii="Times New Roman" w:eastAsia="Times New Roman" w:hAnsi="Times New Roman" w:cs="Times New Roman"/>
                <w:kern w:val="24"/>
                <w:sz w:val="20"/>
                <w:szCs w:val="20"/>
                <w:lang w:val="en-GB"/>
              </w:rPr>
              <w:t xml:space="preserve">. </w:t>
            </w:r>
          </w:p>
          <w:p w14:paraId="7B0FD022" w14:textId="76D2EE3C" w:rsidR="007122E1" w:rsidRPr="007122E1" w:rsidRDefault="007122E1" w:rsidP="00EE0023">
            <w:pPr>
              <w:numPr>
                <w:ilvl w:val="1"/>
                <w:numId w:val="17"/>
              </w:numPr>
              <w:overflowPunct w:val="0"/>
              <w:spacing w:after="0" w:line="240" w:lineRule="auto"/>
              <w:ind w:left="737"/>
              <w:contextualSpacing/>
              <w:rPr>
                <w:rFonts w:ascii="Times New Roman" w:eastAsia="Times New Roman" w:hAnsi="Times New Roman" w:cs="Times New Roman"/>
                <w:sz w:val="20"/>
                <w:szCs w:val="20"/>
              </w:rPr>
            </w:pPr>
            <w:r w:rsidRPr="007122E1">
              <w:rPr>
                <w:rFonts w:ascii="Times New Roman" w:eastAsia="Times New Roman" w:hAnsi="Times New Roman" w:cs="Times New Roman"/>
                <w:kern w:val="24"/>
                <w:sz w:val="20"/>
                <w:szCs w:val="20"/>
                <w:lang w:val="en-GB"/>
              </w:rPr>
              <w:lastRenderedPageBreak/>
              <w:t xml:space="preserve">In this case, the </w:t>
            </w:r>
            <w:r w:rsidRPr="007122E1">
              <w:rPr>
                <w:rFonts w:ascii="Times New Roman" w:eastAsia="Times New Roman" w:hAnsi="Times New Roman" w:cs="Times New Roman"/>
                <w:kern w:val="24"/>
                <w:sz w:val="20"/>
                <w:szCs w:val="20"/>
                <w:highlight w:val="yellow"/>
                <w:lang w:val="en-GB"/>
              </w:rPr>
              <w:t xml:space="preserve">UE is not required to monitor that CSI-RS resource if the UE cannot detect the SS/PBCH block indicated by this </w:t>
            </w:r>
            <w:r w:rsidRPr="007122E1">
              <w:rPr>
                <w:rFonts w:ascii="Times New Roman" w:eastAsia="Times New Roman" w:hAnsi="Times New Roman" w:cs="Times New Roman"/>
                <w:i/>
                <w:iCs/>
                <w:kern w:val="24"/>
                <w:sz w:val="20"/>
                <w:szCs w:val="20"/>
                <w:highlight w:val="yellow"/>
                <w:lang w:val="en-GB"/>
              </w:rPr>
              <w:t xml:space="preserve">associatedSSB </w:t>
            </w:r>
            <w:r w:rsidRPr="007122E1">
              <w:rPr>
                <w:rFonts w:ascii="Times New Roman" w:eastAsia="Times New Roman" w:hAnsi="Times New Roman" w:cs="Times New Roman"/>
                <w:kern w:val="24"/>
                <w:sz w:val="20"/>
                <w:szCs w:val="20"/>
                <w:highlight w:val="yellow"/>
                <w:lang w:val="en-GB"/>
              </w:rPr>
              <w:t xml:space="preserve">and </w:t>
            </w:r>
            <w:r w:rsidRPr="007122E1">
              <w:rPr>
                <w:rFonts w:ascii="Times New Roman" w:eastAsia="Times New Roman" w:hAnsi="Times New Roman" w:cs="Times New Roman"/>
                <w:i/>
                <w:iCs/>
                <w:kern w:val="24"/>
                <w:sz w:val="20"/>
                <w:szCs w:val="20"/>
                <w:highlight w:val="yellow"/>
                <w:lang w:val="en-GB"/>
              </w:rPr>
              <w:t>cellId</w:t>
            </w:r>
            <w:r w:rsidRPr="007122E1">
              <w:rPr>
                <w:rFonts w:ascii="Times New Roman" w:eastAsia="Times New Roman" w:hAnsi="Times New Roman" w:cs="Times New Roman"/>
                <w:kern w:val="24"/>
                <w:sz w:val="20"/>
                <w:szCs w:val="20"/>
                <w:lang w:val="en-GB"/>
              </w:rPr>
              <w:t>.</w:t>
            </w:r>
            <w:r w:rsidRPr="00F3456B">
              <w:rPr>
                <w:rFonts w:ascii="Times New Roman" w:eastAsia="Times New Roman" w:hAnsi="Times New Roman" w:cs="Times New Roman"/>
                <w:kern w:val="24"/>
                <w:sz w:val="20"/>
                <w:szCs w:val="20"/>
                <w:lang w:val="en-GB"/>
              </w:rPr>
              <w:t xml:space="preserve"> </w:t>
            </w:r>
            <w:r w:rsidRPr="007122E1">
              <w:rPr>
                <w:rFonts w:ascii="Times New Roman" w:eastAsia="Times New Roman" w:hAnsi="Times New Roman" w:cs="Times New Roman"/>
                <w:kern w:val="24"/>
                <w:sz w:val="20"/>
                <w:szCs w:val="20"/>
                <w:lang w:val="en-GB"/>
              </w:rPr>
              <w:t xml:space="preserve"> </w:t>
            </w:r>
          </w:p>
        </w:tc>
      </w:tr>
    </w:tbl>
    <w:p w14:paraId="1DC4BFE7" w14:textId="77777777" w:rsidR="008A2AF5" w:rsidRDefault="008A2AF5" w:rsidP="008A2AF5">
      <w:pPr>
        <w:jc w:val="both"/>
        <w:rPr>
          <w:rFonts w:eastAsia="新細明體" w:cstheme="minorHAnsi"/>
        </w:rPr>
      </w:pPr>
    </w:p>
    <w:p w14:paraId="19C9F129" w14:textId="7BBAC5B4" w:rsidR="007122E1" w:rsidRDefault="007122E1" w:rsidP="008A2AF5">
      <w:pPr>
        <w:jc w:val="both"/>
        <w:rPr>
          <w:rFonts w:eastAsia="新細明體" w:cstheme="minorHAnsi"/>
        </w:rPr>
      </w:pPr>
      <w:r>
        <w:rPr>
          <w:rFonts w:eastAsia="新細明體" w:cstheme="minorHAnsi"/>
        </w:rPr>
        <w:t xml:space="preserve">With above understanding, it is very straightforward that SSB-based measurement should always be configured in the same MO for UE to perform CSI-RS based measurement. There should not be any MO with only CSI-RS configured but no SSB. </w:t>
      </w:r>
      <w:r w:rsidR="00C226D1">
        <w:rPr>
          <w:rFonts w:eastAsia="新細明體" w:cstheme="minorHAnsi"/>
        </w:rPr>
        <w:t>T</w:t>
      </w:r>
      <w:r w:rsidR="00C226D1">
        <w:rPr>
          <w:rFonts w:cstheme="minorHAnsi"/>
        </w:rPr>
        <w:t xml:space="preserve">he layers to be monitored based on CSI-RS can only </w:t>
      </w:r>
      <w:r w:rsidR="009E031D">
        <w:rPr>
          <w:rFonts w:cstheme="minorHAnsi"/>
        </w:rPr>
        <w:t xml:space="preserve">be </w:t>
      </w:r>
      <w:r w:rsidR="00C226D1">
        <w:rPr>
          <w:rFonts w:cstheme="minorHAnsi"/>
        </w:rPr>
        <w:t>a subset of the layers to be monitored based on SSB. In other words, CSI-RS based L3 measurement does not add additional frequency layers to be monitored on top of the number specified for SSB based measurement.</w:t>
      </w:r>
    </w:p>
    <w:p w14:paraId="0E9E9C57" w14:textId="473F7D1B" w:rsidR="00C226D1" w:rsidRDefault="00C226D1" w:rsidP="00C226D1">
      <w:pPr>
        <w:pStyle w:val="Caption"/>
        <w:rPr>
          <w:rFonts w:cstheme="minorHAnsi"/>
        </w:rPr>
      </w:pPr>
      <w:bookmarkStart w:id="2" w:name="_Ref40010786"/>
      <w:r>
        <w:t xml:space="preserve">Proposal </w:t>
      </w:r>
      <w:r w:rsidR="00D77297">
        <w:rPr>
          <w:noProof/>
        </w:rPr>
        <w:fldChar w:fldCharType="begin"/>
      </w:r>
      <w:r w:rsidR="00D77297">
        <w:rPr>
          <w:noProof/>
        </w:rPr>
        <w:instrText xml:space="preserve"> SEQ Proposal \* ARAB</w:instrText>
      </w:r>
      <w:r w:rsidR="00D77297">
        <w:rPr>
          <w:noProof/>
        </w:rPr>
        <w:instrText xml:space="preserve">IC </w:instrText>
      </w:r>
      <w:r w:rsidR="00D77297">
        <w:rPr>
          <w:noProof/>
        </w:rPr>
        <w:fldChar w:fldCharType="separate"/>
      </w:r>
      <w:r w:rsidR="00BA5F3D">
        <w:rPr>
          <w:noProof/>
        </w:rPr>
        <w:t>2</w:t>
      </w:r>
      <w:r w:rsidR="00D77297">
        <w:rPr>
          <w:noProof/>
        </w:rPr>
        <w:fldChar w:fldCharType="end"/>
      </w:r>
      <w:r>
        <w:t xml:space="preserve">: </w:t>
      </w:r>
      <w:r>
        <w:rPr>
          <w:rFonts w:eastAsia="新細明體" w:cstheme="minorHAnsi"/>
        </w:rPr>
        <w:t>T</w:t>
      </w:r>
      <w:r>
        <w:rPr>
          <w:rFonts w:cstheme="minorHAnsi"/>
        </w:rPr>
        <w:t xml:space="preserve">he layers to be monitored based on CSI-RS can only </w:t>
      </w:r>
      <w:r w:rsidR="009E031D">
        <w:rPr>
          <w:rFonts w:cstheme="minorHAnsi"/>
        </w:rPr>
        <w:t xml:space="preserve">be </w:t>
      </w:r>
      <w:r>
        <w:rPr>
          <w:rFonts w:cstheme="minorHAnsi"/>
        </w:rPr>
        <w:t>a subset of the layers to be monitored based on SSB.</w:t>
      </w:r>
      <w:r w:rsidR="00860191">
        <w:rPr>
          <w:rFonts w:cstheme="minorHAnsi"/>
        </w:rPr>
        <w:t xml:space="preserve"> The minimum # of layers to be measured based on CSI-RS is the same as that for SSB.</w:t>
      </w:r>
      <w:bookmarkEnd w:id="2"/>
      <w:r w:rsidR="00FC2410">
        <w:rPr>
          <w:rFonts w:cstheme="minorHAnsi"/>
        </w:rPr>
        <w:t xml:space="preserve"> </w:t>
      </w:r>
    </w:p>
    <w:p w14:paraId="0F249738" w14:textId="77777777" w:rsidR="00C226D1" w:rsidRPr="00C226D1" w:rsidRDefault="00C226D1" w:rsidP="00C226D1">
      <w:pPr>
        <w:rPr>
          <w:lang w:val="x-none" w:eastAsia="x-none"/>
        </w:rPr>
      </w:pPr>
    </w:p>
    <w:p w14:paraId="0DB4506D" w14:textId="42EBD728" w:rsidR="00A96897" w:rsidRPr="00E35108" w:rsidRDefault="00E35108" w:rsidP="00A96897">
      <w:pPr>
        <w:jc w:val="both"/>
        <w:rPr>
          <w:rFonts w:cstheme="minorHAnsi"/>
          <w:b/>
          <w:u w:val="single"/>
        </w:rPr>
      </w:pPr>
      <w:r w:rsidRPr="00E35108">
        <w:rPr>
          <w:rFonts w:cstheme="minorHAnsi"/>
          <w:b/>
          <w:u w:val="single"/>
        </w:rPr>
        <w:t>N</w:t>
      </w:r>
      <w:r w:rsidR="00A96897" w:rsidRPr="00E35108">
        <w:rPr>
          <w:rFonts w:cstheme="minorHAnsi"/>
          <w:b/>
          <w:u w:val="single"/>
        </w:rPr>
        <w:t>umber of cells to be monitored</w:t>
      </w:r>
    </w:p>
    <w:p w14:paraId="325325EC" w14:textId="7B897FE0" w:rsidR="00E35108" w:rsidRDefault="00860191" w:rsidP="00A96897">
      <w:pPr>
        <w:jc w:val="both"/>
        <w:rPr>
          <w:rFonts w:eastAsia="新細明體" w:cstheme="minorHAnsi"/>
        </w:rPr>
      </w:pPr>
      <w:r>
        <w:rPr>
          <w:rFonts w:eastAsia="新細明體" w:cstheme="minorHAnsi"/>
        </w:rPr>
        <w:t>The logic here is exactly the same as the previous topic. UE does not need to measure the cell if the SSB is not detectable. Therefore, t</w:t>
      </w:r>
      <w:r>
        <w:rPr>
          <w:rFonts w:cstheme="minorHAnsi"/>
        </w:rPr>
        <w:t>he cells to be monitored based on CSI-RS can only a subset of the cells to be monitored based on SSB.</w:t>
      </w:r>
    </w:p>
    <w:p w14:paraId="257AA34B" w14:textId="7BD1E444" w:rsidR="00860191" w:rsidRDefault="00860191" w:rsidP="00775524">
      <w:pPr>
        <w:pStyle w:val="Caption"/>
        <w:jc w:val="both"/>
        <w:rPr>
          <w:rFonts w:cstheme="minorHAnsi"/>
        </w:rPr>
      </w:pPr>
      <w:bookmarkStart w:id="3" w:name="_Ref40010788"/>
      <w:r>
        <w:t xml:space="preserve">Proposal </w:t>
      </w:r>
      <w:fldSimple w:instr=" SEQ Proposal \* ARABIC ">
        <w:r w:rsidR="00BA5F3D">
          <w:rPr>
            <w:noProof/>
          </w:rPr>
          <w:t>3</w:t>
        </w:r>
      </w:fldSimple>
      <w:r>
        <w:t xml:space="preserve">: </w:t>
      </w:r>
      <w:r>
        <w:rPr>
          <w:rFonts w:eastAsia="新細明體" w:cstheme="minorHAnsi"/>
        </w:rPr>
        <w:t>T</w:t>
      </w:r>
      <w:r>
        <w:rPr>
          <w:rFonts w:cstheme="minorHAnsi"/>
        </w:rPr>
        <w:t xml:space="preserve">he cells to be monitored based on CSI-RS can only </w:t>
      </w:r>
      <w:r w:rsidR="00775524">
        <w:rPr>
          <w:rFonts w:cstheme="minorHAnsi"/>
        </w:rPr>
        <w:t xml:space="preserve">be </w:t>
      </w:r>
      <w:r>
        <w:rPr>
          <w:rFonts w:cstheme="minorHAnsi"/>
        </w:rPr>
        <w:t>a subset of the cells to be monitored based on SSB. The minimum # of cells to be measured based on CSI-RS is the same as that for</w:t>
      </w:r>
      <w:bookmarkEnd w:id="3"/>
      <w:r w:rsidR="00775524">
        <w:rPr>
          <w:rFonts w:cstheme="minorHAnsi"/>
        </w:rPr>
        <w:t xml:space="preserve"> SSB</w:t>
      </w:r>
      <w:r w:rsidR="0090085D">
        <w:rPr>
          <w:rFonts w:cstheme="minorHAnsi"/>
        </w:rPr>
        <w:t>.</w:t>
      </w:r>
    </w:p>
    <w:p w14:paraId="287B0B39" w14:textId="77777777" w:rsidR="00E35108" w:rsidRPr="00860191" w:rsidRDefault="00E35108" w:rsidP="00A96897">
      <w:pPr>
        <w:jc w:val="both"/>
        <w:rPr>
          <w:rFonts w:eastAsia="新細明體" w:cstheme="minorHAnsi"/>
          <w:lang w:val="x-none"/>
        </w:rPr>
      </w:pPr>
    </w:p>
    <w:p w14:paraId="5E5DB061" w14:textId="51220BAE" w:rsidR="00A96897" w:rsidRPr="00E35108" w:rsidRDefault="00E35108" w:rsidP="00A96897">
      <w:pPr>
        <w:jc w:val="both"/>
        <w:rPr>
          <w:rFonts w:cstheme="minorHAnsi"/>
          <w:b/>
          <w:u w:val="single"/>
        </w:rPr>
      </w:pPr>
      <w:r w:rsidRPr="00E35108">
        <w:rPr>
          <w:rFonts w:cstheme="minorHAnsi"/>
          <w:b/>
          <w:u w:val="single"/>
        </w:rPr>
        <w:t>N</w:t>
      </w:r>
      <w:r w:rsidR="00A96897" w:rsidRPr="00E35108">
        <w:rPr>
          <w:rFonts w:cstheme="minorHAnsi"/>
          <w:b/>
          <w:u w:val="single"/>
        </w:rPr>
        <w:t>umber of CSI-RS resource/beams to be monitored</w:t>
      </w:r>
    </w:p>
    <w:p w14:paraId="3262C9B9" w14:textId="72263AFA" w:rsidR="0052075C" w:rsidRDefault="00FC2410" w:rsidP="00FC2410">
      <w:pPr>
        <w:jc w:val="both"/>
        <w:rPr>
          <w:rFonts w:cstheme="minorHAnsi"/>
        </w:rPr>
      </w:pPr>
      <w:r w:rsidRPr="00FC2410">
        <w:rPr>
          <w:rFonts w:cstheme="minorHAnsi"/>
        </w:rPr>
        <w:t>According to TS38.133, UE can be configured with 9</w:t>
      </w:r>
      <w:r w:rsidR="0052075C">
        <w:rPr>
          <w:rFonts w:cstheme="minorHAnsi"/>
        </w:rPr>
        <w:t>2</w:t>
      </w:r>
      <w:r w:rsidRPr="00FC2410">
        <w:rPr>
          <w:rFonts w:cstheme="minorHAnsi"/>
        </w:rPr>
        <w:t xml:space="preserve"> CSI-RS configurations per MO. Frankly speaking, it is infeasible to ask UE to monitor 96 CSI-RS configurations in one frequency layer. </w:t>
      </w:r>
      <w:r w:rsidR="0052075C">
        <w:rPr>
          <w:rFonts w:cstheme="minorHAnsi"/>
        </w:rPr>
        <w:t>Note that in last meeting, RAN4 has the agreement to only specify requirements for CSI-RS with associated SSB. This agreement can help to reduce UE’s complexity because UE can skip some CSI-RS resources if the associated SSB and Cell ID are not detectable. Therefore, we would like to revise our proposal in previous meeting</w:t>
      </w:r>
      <w:r w:rsidR="00BD42AF">
        <w:rPr>
          <w:rFonts w:cstheme="minorHAnsi"/>
        </w:rPr>
        <w:t xml:space="preserve"> from</w:t>
      </w:r>
    </w:p>
    <w:p w14:paraId="46C137D8" w14:textId="4584D221" w:rsidR="0052075C" w:rsidRPr="00B64611" w:rsidRDefault="00BD42AF" w:rsidP="0052075C">
      <w:pPr>
        <w:ind w:left="284"/>
        <w:jc w:val="both"/>
        <w:rPr>
          <w:rFonts w:cstheme="minorHAnsi"/>
          <w:i/>
        </w:rPr>
      </w:pPr>
      <w:r>
        <w:rPr>
          <w:i/>
          <w:sz w:val="20"/>
          <w:szCs w:val="20"/>
          <w:lang w:eastAsia="x-none"/>
        </w:rPr>
        <w:t>“</w:t>
      </w:r>
      <w:r w:rsidR="0052075C" w:rsidRPr="00B64611">
        <w:rPr>
          <w:i/>
          <w:sz w:val="20"/>
          <w:szCs w:val="20"/>
          <w:lang w:eastAsia="x-none"/>
        </w:rPr>
        <w:t>If network configures more CSI-RS resources in an MO than the UE measurement capability, the UE behavior is undefined.</w:t>
      </w:r>
      <w:r>
        <w:rPr>
          <w:i/>
          <w:sz w:val="20"/>
          <w:szCs w:val="20"/>
          <w:lang w:eastAsia="x-none"/>
        </w:rPr>
        <w:t>”</w:t>
      </w:r>
    </w:p>
    <w:p w14:paraId="718A8D70" w14:textId="7F4CF4C2" w:rsidR="0052075C" w:rsidRDefault="0052075C" w:rsidP="00FC2410">
      <w:pPr>
        <w:jc w:val="both"/>
        <w:rPr>
          <w:rFonts w:cstheme="minorHAnsi"/>
        </w:rPr>
      </w:pPr>
      <w:r>
        <w:rPr>
          <w:rFonts w:cstheme="minorHAnsi"/>
        </w:rPr>
        <w:t>to</w:t>
      </w:r>
    </w:p>
    <w:p w14:paraId="253E65F9" w14:textId="4622F512" w:rsidR="0052075C" w:rsidRPr="00B64611" w:rsidRDefault="00BD42AF" w:rsidP="0052075C">
      <w:pPr>
        <w:ind w:left="284"/>
        <w:jc w:val="both"/>
        <w:rPr>
          <w:rFonts w:cstheme="minorHAnsi"/>
          <w:i/>
        </w:rPr>
      </w:pPr>
      <w:r>
        <w:rPr>
          <w:i/>
          <w:sz w:val="20"/>
          <w:szCs w:val="20"/>
          <w:lang w:eastAsia="x-none"/>
        </w:rPr>
        <w:t>“</w:t>
      </w:r>
      <w:r w:rsidR="00393B3B" w:rsidRPr="00393B3B">
        <w:rPr>
          <w:i/>
          <w:sz w:val="20"/>
          <w:szCs w:val="20"/>
          <w:lang w:eastAsia="x-none"/>
        </w:rPr>
        <w:t xml:space="preserve">If </w:t>
      </w:r>
      <w:r w:rsidR="00393B3B" w:rsidRPr="00BD42AF">
        <w:rPr>
          <w:i/>
          <w:color w:val="FF0000"/>
          <w:sz w:val="20"/>
          <w:szCs w:val="20"/>
          <w:u w:val="single"/>
          <w:lang w:eastAsia="x-none"/>
        </w:rPr>
        <w:t>the number of remaining CSI-RS resources to be measured with detectable associated SSB</w:t>
      </w:r>
      <w:r w:rsidR="00393B3B" w:rsidRPr="00BD42AF">
        <w:rPr>
          <w:i/>
          <w:color w:val="FF0000"/>
          <w:sz w:val="20"/>
          <w:szCs w:val="20"/>
          <w:lang w:eastAsia="x-none"/>
        </w:rPr>
        <w:t xml:space="preserve"> </w:t>
      </w:r>
      <w:r w:rsidR="00393B3B" w:rsidRPr="00393B3B">
        <w:rPr>
          <w:i/>
          <w:sz w:val="20"/>
          <w:szCs w:val="20"/>
          <w:lang w:eastAsia="x-none"/>
        </w:rPr>
        <w:t>in an MO is larger than the UE measurement capability, the UE behavior is undefined</w:t>
      </w:r>
      <w:r w:rsidR="0052075C" w:rsidRPr="00B64611">
        <w:rPr>
          <w:i/>
          <w:sz w:val="20"/>
          <w:szCs w:val="20"/>
          <w:lang w:eastAsia="x-none"/>
        </w:rPr>
        <w:t>.</w:t>
      </w:r>
      <w:r>
        <w:rPr>
          <w:i/>
          <w:sz w:val="20"/>
          <w:szCs w:val="20"/>
          <w:lang w:eastAsia="x-none"/>
        </w:rPr>
        <w:t>”</w:t>
      </w:r>
    </w:p>
    <w:p w14:paraId="415E06EF" w14:textId="102406B1" w:rsidR="00B64611" w:rsidRPr="00FC2410" w:rsidRDefault="00B64611" w:rsidP="00B64611">
      <w:pPr>
        <w:jc w:val="both"/>
        <w:rPr>
          <w:b/>
          <w:sz w:val="20"/>
          <w:szCs w:val="20"/>
          <w:lang w:eastAsia="x-none"/>
        </w:rPr>
      </w:pPr>
      <w:bookmarkStart w:id="4" w:name="_Ref31548961"/>
      <w:r w:rsidRPr="00FC2410">
        <w:rPr>
          <w:b/>
          <w:sz w:val="20"/>
          <w:szCs w:val="20"/>
          <w:lang w:eastAsia="x-none"/>
        </w:rPr>
        <w:t xml:space="preserve">Proposal </w:t>
      </w:r>
      <w:r w:rsidRPr="00FC2410">
        <w:rPr>
          <w:b/>
          <w:sz w:val="20"/>
          <w:szCs w:val="20"/>
          <w:lang w:eastAsia="x-none"/>
        </w:rPr>
        <w:fldChar w:fldCharType="begin"/>
      </w:r>
      <w:r w:rsidRPr="00FC2410">
        <w:rPr>
          <w:b/>
          <w:sz w:val="20"/>
          <w:szCs w:val="20"/>
          <w:lang w:eastAsia="x-none"/>
        </w:rPr>
        <w:instrText xml:space="preserve"> SEQ Proposal \* ARABIC </w:instrText>
      </w:r>
      <w:r w:rsidRPr="00FC2410">
        <w:rPr>
          <w:b/>
          <w:sz w:val="20"/>
          <w:szCs w:val="20"/>
          <w:lang w:eastAsia="x-none"/>
        </w:rPr>
        <w:fldChar w:fldCharType="separate"/>
      </w:r>
      <w:r w:rsidR="00BA5F3D">
        <w:rPr>
          <w:b/>
          <w:noProof/>
          <w:sz w:val="20"/>
          <w:szCs w:val="20"/>
          <w:lang w:eastAsia="x-none"/>
        </w:rPr>
        <w:t>4</w:t>
      </w:r>
      <w:r w:rsidRPr="00FC2410">
        <w:rPr>
          <w:b/>
          <w:sz w:val="20"/>
          <w:szCs w:val="20"/>
          <w:lang w:eastAsia="x-none"/>
        </w:rPr>
        <w:fldChar w:fldCharType="end"/>
      </w:r>
      <w:r w:rsidRPr="00FC2410">
        <w:rPr>
          <w:b/>
          <w:sz w:val="20"/>
          <w:szCs w:val="20"/>
          <w:lang w:eastAsia="x-none"/>
        </w:rPr>
        <w:t xml:space="preserve">: </w:t>
      </w:r>
      <w:r w:rsidRPr="00B64611">
        <w:rPr>
          <w:b/>
          <w:sz w:val="20"/>
          <w:szCs w:val="20"/>
          <w:lang w:eastAsia="x-none"/>
        </w:rPr>
        <w:t xml:space="preserve">If the number of remaining CSI-RS resources </w:t>
      </w:r>
      <w:r w:rsidR="009A5317" w:rsidRPr="00B64611">
        <w:rPr>
          <w:b/>
          <w:sz w:val="20"/>
          <w:szCs w:val="20"/>
          <w:lang w:eastAsia="x-none"/>
        </w:rPr>
        <w:t xml:space="preserve">to be measured </w:t>
      </w:r>
      <w:r w:rsidRPr="00B64611">
        <w:rPr>
          <w:b/>
          <w:sz w:val="20"/>
          <w:szCs w:val="20"/>
          <w:lang w:eastAsia="x-none"/>
        </w:rPr>
        <w:t xml:space="preserve">with </w:t>
      </w:r>
      <w:r w:rsidR="00160345">
        <w:rPr>
          <w:b/>
          <w:sz w:val="20"/>
          <w:szCs w:val="20"/>
          <w:lang w:eastAsia="x-none"/>
        </w:rPr>
        <w:t xml:space="preserve">detectable </w:t>
      </w:r>
      <w:r w:rsidRPr="00B64611">
        <w:rPr>
          <w:b/>
          <w:sz w:val="20"/>
          <w:szCs w:val="20"/>
          <w:lang w:eastAsia="x-none"/>
        </w:rPr>
        <w:t>associated SSB in an MO is larger than the UE measurement capability, the UE behavior is undefined</w:t>
      </w:r>
      <w:r w:rsidRPr="00FC2410">
        <w:rPr>
          <w:b/>
          <w:sz w:val="20"/>
          <w:szCs w:val="20"/>
          <w:lang w:eastAsia="x-none"/>
        </w:rPr>
        <w:t>.</w:t>
      </w:r>
      <w:bookmarkEnd w:id="4"/>
    </w:p>
    <w:p w14:paraId="30F3428D" w14:textId="77777777" w:rsidR="0052075C" w:rsidRDefault="0052075C" w:rsidP="00B64611">
      <w:pPr>
        <w:jc w:val="both"/>
        <w:rPr>
          <w:rFonts w:cstheme="minorHAnsi"/>
        </w:rPr>
      </w:pPr>
    </w:p>
    <w:p w14:paraId="21EA41D4" w14:textId="42AF763A" w:rsidR="00FC2410" w:rsidRPr="00FC2410" w:rsidRDefault="00FC2410" w:rsidP="00FC2410">
      <w:pPr>
        <w:jc w:val="both"/>
        <w:rPr>
          <w:rFonts w:cstheme="minorHAnsi"/>
        </w:rPr>
      </w:pPr>
      <w:r w:rsidRPr="00FC2410">
        <w:rPr>
          <w:rFonts w:cstheme="minorHAnsi"/>
        </w:rPr>
        <w:t xml:space="preserve">Regarding the exact number, we think it is fine to directly re-use those numbers from SSB. One argument to introduce more CSI-RS beams than SSB is due to the expectation that CSI-RS beams are narrower. In our view, the narrow beam width is not really useful for L3 mobility, because narrow beam implies more beams and higher RS overhead to </w:t>
      </w:r>
      <w:r w:rsidR="00BD42AF">
        <w:rPr>
          <w:rFonts w:cstheme="minorHAnsi"/>
        </w:rPr>
        <w:t>maintain</w:t>
      </w:r>
      <w:r w:rsidRPr="00FC2410">
        <w:rPr>
          <w:rFonts w:cstheme="minorHAnsi"/>
        </w:rPr>
        <w:t xml:space="preserve"> the whole cell coverage. </w:t>
      </w:r>
      <w:r w:rsidR="00D52ECD">
        <w:rPr>
          <w:rFonts w:cstheme="minorHAnsi"/>
        </w:rPr>
        <w:t xml:space="preserve">In FR2, this large number of CSI-RS will introduce large number of OFDM symbol with scheduling restriction. </w:t>
      </w:r>
      <w:r w:rsidR="00BD42AF">
        <w:rPr>
          <w:rFonts w:cstheme="minorHAnsi"/>
        </w:rPr>
        <w:t>In both FR1 and FR2, i</w:t>
      </w:r>
      <w:r w:rsidRPr="00FC2410">
        <w:rPr>
          <w:rFonts w:cstheme="minorHAnsi"/>
        </w:rPr>
        <w:t>t also implies less robustness for moving UEs, e.g., the best CSI-RS measured by UE before HO is more likely to be different to the best CSI-RS after HO when UE keeps moving</w:t>
      </w:r>
      <w:r w:rsidR="00D52ECD">
        <w:rPr>
          <w:rFonts w:cstheme="minorHAnsi"/>
        </w:rPr>
        <w:t xml:space="preserve">, as shown in </w:t>
      </w:r>
      <w:r w:rsidR="00D52ECD">
        <w:rPr>
          <w:rFonts w:cstheme="minorHAnsi"/>
        </w:rPr>
        <w:fldChar w:fldCharType="begin"/>
      </w:r>
      <w:r w:rsidR="00D52ECD">
        <w:rPr>
          <w:rFonts w:cstheme="minorHAnsi"/>
        </w:rPr>
        <w:instrText xml:space="preserve"> REF _Ref40008979 \h </w:instrText>
      </w:r>
      <w:r w:rsidR="00D52ECD">
        <w:rPr>
          <w:rFonts w:cstheme="minorHAnsi"/>
        </w:rPr>
      </w:r>
      <w:r w:rsidR="00D52ECD">
        <w:rPr>
          <w:rFonts w:cstheme="minorHAnsi"/>
        </w:rPr>
        <w:fldChar w:fldCharType="separate"/>
      </w:r>
      <w:r w:rsidR="00BA5F3D">
        <w:t xml:space="preserve">Figure </w:t>
      </w:r>
      <w:r w:rsidR="00BA5F3D">
        <w:rPr>
          <w:noProof/>
        </w:rPr>
        <w:t>1</w:t>
      </w:r>
      <w:r w:rsidR="00D52ECD">
        <w:rPr>
          <w:rFonts w:cstheme="minorHAnsi"/>
        </w:rPr>
        <w:fldChar w:fldCharType="end"/>
      </w:r>
      <w:r w:rsidR="00D52ECD">
        <w:rPr>
          <w:rFonts w:cstheme="minorHAnsi"/>
        </w:rPr>
        <w:t>.</w:t>
      </w:r>
      <w:r w:rsidRPr="00FC2410">
        <w:rPr>
          <w:rFonts w:cstheme="minorHAnsi"/>
        </w:rPr>
        <w:t xml:space="preserve"> </w:t>
      </w:r>
      <w:r w:rsidR="00BD42AF">
        <w:rPr>
          <w:rFonts w:cstheme="minorHAnsi"/>
        </w:rPr>
        <w:t>Therefore</w:t>
      </w:r>
      <w:r w:rsidRPr="00FC2410">
        <w:rPr>
          <w:rFonts w:cstheme="minorHAnsi"/>
        </w:rPr>
        <w:t xml:space="preserve">, </w:t>
      </w:r>
      <w:r w:rsidR="00BD42AF">
        <w:rPr>
          <w:rFonts w:cstheme="minorHAnsi"/>
        </w:rPr>
        <w:t xml:space="preserve">we think </w:t>
      </w:r>
      <w:r w:rsidRPr="00FC2410">
        <w:rPr>
          <w:rFonts w:cstheme="minorHAnsi"/>
        </w:rPr>
        <w:t xml:space="preserve">the conclusion drawn from system-level analysis that RAN4 already done for SSB can be directly re-used to CSI-RS. </w:t>
      </w:r>
    </w:p>
    <w:p w14:paraId="2651D0D3" w14:textId="77777777" w:rsidR="00FC2410" w:rsidRDefault="00FC2410" w:rsidP="00FC2410">
      <w:pPr>
        <w:pStyle w:val="Caption"/>
        <w:jc w:val="both"/>
        <w:rPr>
          <w:lang w:val="en-US"/>
        </w:rPr>
      </w:pPr>
      <w:bookmarkStart w:id="5" w:name="_Ref40010301"/>
      <w:bookmarkStart w:id="6" w:name="_Ref20519683"/>
      <w:r w:rsidRPr="002D098E">
        <w:t xml:space="preserve">Proposal </w:t>
      </w:r>
      <w:r w:rsidRPr="002D098E">
        <w:rPr>
          <w:noProof/>
        </w:rPr>
        <w:fldChar w:fldCharType="begin"/>
      </w:r>
      <w:r w:rsidRPr="002D098E">
        <w:rPr>
          <w:noProof/>
        </w:rPr>
        <w:instrText xml:space="preserve"> SEQ Proposal \* ARABIC </w:instrText>
      </w:r>
      <w:r w:rsidRPr="002D098E">
        <w:rPr>
          <w:noProof/>
        </w:rPr>
        <w:fldChar w:fldCharType="separate"/>
      </w:r>
      <w:r w:rsidR="00BA5F3D">
        <w:rPr>
          <w:noProof/>
        </w:rPr>
        <w:t>5</w:t>
      </w:r>
      <w:r w:rsidRPr="002D098E">
        <w:rPr>
          <w:noProof/>
        </w:rPr>
        <w:fldChar w:fldCharType="end"/>
      </w:r>
      <w:bookmarkEnd w:id="5"/>
      <w:r w:rsidRPr="002D098E">
        <w:rPr>
          <w:lang w:val="en-US"/>
        </w:rPr>
        <w:t>: Regarding the number of CSI-RS (beams)</w:t>
      </w:r>
      <w:r w:rsidRPr="002D098E">
        <w:t xml:space="preserve"> </w:t>
      </w:r>
      <w:r w:rsidRPr="002D098E">
        <w:rPr>
          <w:lang w:val="en-US"/>
        </w:rPr>
        <w:t>to be monitored per layer based on L3 CSI-RS, requirements defined the same requirements as those for SSB.</w:t>
      </w:r>
      <w:bookmarkEnd w:id="6"/>
      <w:r w:rsidRPr="002D098E">
        <w:rPr>
          <w:lang w:val="en-US"/>
        </w:rPr>
        <w:t xml:space="preserve"> </w:t>
      </w:r>
    </w:p>
    <w:p w14:paraId="6869FBA1" w14:textId="77777777" w:rsidR="00D52ECD" w:rsidRDefault="00D52ECD" w:rsidP="00D52ECD">
      <w:pPr>
        <w:rPr>
          <w:lang w:eastAsia="x-none"/>
        </w:rPr>
      </w:pPr>
    </w:p>
    <w:p w14:paraId="44E741D4" w14:textId="71C2803C" w:rsidR="00D52ECD" w:rsidRPr="00D52ECD" w:rsidRDefault="00D52ECD" w:rsidP="00D52ECD">
      <w:pPr>
        <w:jc w:val="center"/>
        <w:rPr>
          <w:lang w:eastAsia="x-none"/>
        </w:rPr>
      </w:pPr>
      <w:r w:rsidRPr="00D52ECD">
        <w:rPr>
          <w:noProof/>
        </w:rPr>
        <w:drawing>
          <wp:inline distT="0" distB="0" distL="0" distR="0" wp14:anchorId="19459F12" wp14:editId="33555EA4">
            <wp:extent cx="4029075" cy="1727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1893" cy="1728889"/>
                    </a:xfrm>
                    <a:prstGeom prst="rect">
                      <a:avLst/>
                    </a:prstGeom>
                    <a:noFill/>
                    <a:ln>
                      <a:noFill/>
                    </a:ln>
                  </pic:spPr>
                </pic:pic>
              </a:graphicData>
            </a:graphic>
          </wp:inline>
        </w:drawing>
      </w:r>
    </w:p>
    <w:p w14:paraId="136A4368" w14:textId="19B51D9F" w:rsidR="00E35108" w:rsidRDefault="00D52ECD" w:rsidP="00D52ECD">
      <w:pPr>
        <w:pStyle w:val="Caption"/>
        <w:jc w:val="center"/>
        <w:rPr>
          <w:rFonts w:eastAsia="新細明體" w:cstheme="minorHAnsi"/>
        </w:rPr>
      </w:pPr>
      <w:bookmarkStart w:id="7" w:name="_Ref40008979"/>
      <w:r>
        <w:t xml:space="preserve">Figure </w:t>
      </w:r>
      <w:r w:rsidR="00D77297">
        <w:rPr>
          <w:noProof/>
        </w:rPr>
        <w:fldChar w:fldCharType="begin"/>
      </w:r>
      <w:r w:rsidR="00D77297">
        <w:rPr>
          <w:noProof/>
        </w:rPr>
        <w:instrText xml:space="preserve"> SEQ Figure \* ARABIC </w:instrText>
      </w:r>
      <w:r w:rsidR="00D77297">
        <w:rPr>
          <w:noProof/>
        </w:rPr>
        <w:fldChar w:fldCharType="separate"/>
      </w:r>
      <w:r w:rsidR="00BA5F3D">
        <w:rPr>
          <w:noProof/>
        </w:rPr>
        <w:t>1</w:t>
      </w:r>
      <w:r w:rsidR="00D77297">
        <w:rPr>
          <w:noProof/>
        </w:rPr>
        <w:fldChar w:fldCharType="end"/>
      </w:r>
      <w:bookmarkEnd w:id="7"/>
      <w:r>
        <w:t xml:space="preserve"> An example to compare using rough beam and fine beam for mobility </w:t>
      </w:r>
    </w:p>
    <w:p w14:paraId="43DE18A2" w14:textId="77777777" w:rsidR="00D52ECD" w:rsidRDefault="00D52ECD" w:rsidP="00A96897">
      <w:pPr>
        <w:jc w:val="both"/>
        <w:rPr>
          <w:rFonts w:cstheme="minorHAnsi"/>
          <w:b/>
          <w:u w:val="single"/>
        </w:rPr>
      </w:pPr>
    </w:p>
    <w:p w14:paraId="598FF523" w14:textId="2226E6F5" w:rsidR="00A96897" w:rsidRPr="00E35108" w:rsidRDefault="00A96897" w:rsidP="00A96897">
      <w:pPr>
        <w:jc w:val="both"/>
        <w:rPr>
          <w:rFonts w:cstheme="minorHAnsi"/>
          <w:b/>
          <w:u w:val="single"/>
        </w:rPr>
      </w:pPr>
      <w:r w:rsidRPr="00E35108">
        <w:rPr>
          <w:rFonts w:cstheme="minorHAnsi"/>
          <w:b/>
          <w:u w:val="single"/>
        </w:rPr>
        <w:t>UE capability to indicate maximum CSI-RS resources in a slot per MO</w:t>
      </w:r>
    </w:p>
    <w:p w14:paraId="20FA48A6" w14:textId="23ED3466" w:rsidR="00E35108" w:rsidRDefault="00FE08CF" w:rsidP="00A96897">
      <w:pPr>
        <w:jc w:val="both"/>
        <w:rPr>
          <w:rFonts w:eastAsia="新細明體" w:cstheme="minorHAnsi"/>
        </w:rPr>
      </w:pPr>
      <w:r>
        <w:rPr>
          <w:rFonts w:eastAsia="新細明體" w:cstheme="minorHAnsi"/>
        </w:rPr>
        <w:t xml:space="preserve">We agree </w:t>
      </w:r>
      <w:r w:rsidR="00BD42AF">
        <w:rPr>
          <w:rFonts w:eastAsia="新細明體" w:cstheme="minorHAnsi"/>
        </w:rPr>
        <w:t>to introduce</w:t>
      </w:r>
      <w:r>
        <w:rPr>
          <w:rFonts w:eastAsia="新細明體" w:cstheme="minorHAnsi"/>
        </w:rPr>
        <w:t xml:space="preserve"> some reasonable limitation on the UE processing capability, but one thing to be clarified first is the definition. Again, RAN4 already has the agreement to work on only the requirement with associated SSB. So UE is not required to measure all configured CSI-RS resources. </w:t>
      </w:r>
      <w:r w:rsidR="006907EF">
        <w:rPr>
          <w:rFonts w:eastAsia="新細明體" w:cstheme="minorHAnsi"/>
        </w:rPr>
        <w:t xml:space="preserve">Therefore, it may not be suitable to consider this capability based on the number of configured CSI-RS resources. Instead, we suggest to discuss the UE capability on the number of CSI-RS </w:t>
      </w:r>
      <w:r w:rsidR="009A5317">
        <w:rPr>
          <w:rFonts w:eastAsia="新細明體" w:cstheme="minorHAnsi"/>
        </w:rPr>
        <w:t xml:space="preserve">to be measured </w:t>
      </w:r>
      <w:r w:rsidR="006907EF">
        <w:rPr>
          <w:rFonts w:eastAsia="新細明體" w:cstheme="minorHAnsi"/>
        </w:rPr>
        <w:t xml:space="preserve">with </w:t>
      </w:r>
      <w:r w:rsidR="00160345" w:rsidRPr="00160345">
        <w:rPr>
          <w:rFonts w:eastAsia="新細明體" w:cstheme="minorHAnsi"/>
        </w:rPr>
        <w:t xml:space="preserve">detectable </w:t>
      </w:r>
      <w:r w:rsidR="006907EF">
        <w:rPr>
          <w:rFonts w:eastAsia="新細明體" w:cstheme="minorHAnsi"/>
        </w:rPr>
        <w:t xml:space="preserve">associated SSB in a slot per MO. </w:t>
      </w:r>
    </w:p>
    <w:p w14:paraId="628C0270" w14:textId="21F6F9A7" w:rsidR="00333808" w:rsidRDefault="00BD42AF" w:rsidP="00A96897">
      <w:pPr>
        <w:jc w:val="both"/>
        <w:rPr>
          <w:rFonts w:eastAsia="新細明體" w:cstheme="minorHAnsi"/>
        </w:rPr>
      </w:pPr>
      <w:r>
        <w:rPr>
          <w:rFonts w:eastAsia="新細明體" w:cstheme="minorHAnsi"/>
        </w:rPr>
        <w:t xml:space="preserve">Regarding the exact number, we think it should definitely be no larger than the </w:t>
      </w:r>
      <w:r w:rsidRPr="00333808">
        <w:rPr>
          <w:rFonts w:eastAsia="新細明體" w:cstheme="minorHAnsi"/>
        </w:rPr>
        <w:t>number of CSI-RS (beams) to be monitored per</w:t>
      </w:r>
      <w:r w:rsidR="00B429ED">
        <w:rPr>
          <w:rFonts w:eastAsia="新細明體" w:cstheme="minorHAnsi"/>
        </w:rPr>
        <w:t xml:space="preserve"> frequency</w:t>
      </w:r>
      <w:r w:rsidRPr="00333808">
        <w:rPr>
          <w:rFonts w:eastAsia="新細明體" w:cstheme="minorHAnsi"/>
        </w:rPr>
        <w:t xml:space="preserve"> layer</w:t>
      </w:r>
      <w:r>
        <w:rPr>
          <w:rFonts w:eastAsia="新細明體" w:cstheme="minorHAnsi"/>
        </w:rPr>
        <w:t xml:space="preserve">. </w:t>
      </w:r>
      <w:r>
        <w:rPr>
          <w:rFonts w:eastAsia="新細明體" w:cstheme="minorHAnsi"/>
        </w:rPr>
        <w:t>I</w:t>
      </w:r>
      <w:r>
        <w:rPr>
          <w:rFonts w:eastAsia="新細明體" w:cstheme="minorHAnsi"/>
        </w:rPr>
        <w:t>t can be further studied.</w:t>
      </w:r>
    </w:p>
    <w:p w14:paraId="5935A0A8" w14:textId="77777777" w:rsidR="00BD42AF" w:rsidRDefault="00BD42AF" w:rsidP="00BD42AF">
      <w:pPr>
        <w:pStyle w:val="Caption"/>
        <w:rPr>
          <w:rFonts w:eastAsia="新細明體" w:cstheme="minorHAnsi"/>
        </w:rPr>
      </w:pPr>
      <w:bookmarkStart w:id="8" w:name="_Ref40010793"/>
      <w:r>
        <w:t xml:space="preserve">Proposal </w:t>
      </w:r>
      <w:r>
        <w:rPr>
          <w:noProof/>
        </w:rPr>
        <w:fldChar w:fldCharType="begin"/>
      </w:r>
      <w:r>
        <w:rPr>
          <w:noProof/>
        </w:rPr>
        <w:instrText xml:space="preserve"> SEQ Proposal \* ARABIC </w:instrText>
      </w:r>
      <w:r>
        <w:rPr>
          <w:noProof/>
        </w:rPr>
        <w:fldChar w:fldCharType="separate"/>
      </w:r>
      <w:r w:rsidR="00BA5F3D">
        <w:rPr>
          <w:noProof/>
        </w:rPr>
        <w:t>6</w:t>
      </w:r>
      <w:r>
        <w:rPr>
          <w:noProof/>
        </w:rPr>
        <w:fldChar w:fldCharType="end"/>
      </w:r>
      <w:r>
        <w:t xml:space="preserve">: Since only requirements with associated SSB will be defined, the UE processing capability in a slot per MO should be revised to consider only the </w:t>
      </w:r>
      <w:r>
        <w:rPr>
          <w:rFonts w:eastAsia="新細明體" w:cstheme="minorHAnsi"/>
        </w:rPr>
        <w:t xml:space="preserve">CSI-RS resources to be measured with </w:t>
      </w:r>
      <w:r w:rsidRPr="00160345">
        <w:rPr>
          <w:rFonts w:eastAsia="新細明體" w:cstheme="minorHAnsi"/>
        </w:rPr>
        <w:t xml:space="preserve">detectable </w:t>
      </w:r>
      <w:r>
        <w:rPr>
          <w:rFonts w:eastAsia="新細明體" w:cstheme="minorHAnsi"/>
        </w:rPr>
        <w:t>associated SSB.</w:t>
      </w:r>
      <w:bookmarkEnd w:id="8"/>
      <w:r>
        <w:rPr>
          <w:rFonts w:eastAsia="新細明體" w:cstheme="minorHAnsi"/>
        </w:rPr>
        <w:t xml:space="preserve"> FFS the exact number.</w:t>
      </w:r>
    </w:p>
    <w:p w14:paraId="6EA89B02" w14:textId="77777777" w:rsidR="00E35108" w:rsidRDefault="00E35108" w:rsidP="00A96897">
      <w:pPr>
        <w:jc w:val="both"/>
        <w:rPr>
          <w:rFonts w:eastAsia="新細明體" w:cstheme="minorHAnsi"/>
        </w:rPr>
      </w:pPr>
    </w:p>
    <w:p w14:paraId="49373929" w14:textId="49770930" w:rsidR="00A96897" w:rsidRPr="00E35108" w:rsidRDefault="00A96897" w:rsidP="00A96897">
      <w:pPr>
        <w:jc w:val="both"/>
        <w:rPr>
          <w:rFonts w:cstheme="minorHAnsi"/>
          <w:b/>
          <w:u w:val="single"/>
        </w:rPr>
      </w:pPr>
      <w:r w:rsidRPr="00E35108">
        <w:rPr>
          <w:rFonts w:cstheme="minorHAnsi"/>
          <w:b/>
          <w:u w:val="single"/>
        </w:rPr>
        <w:t>UE buffering and processing capability</w:t>
      </w:r>
    </w:p>
    <w:p w14:paraId="6698C138" w14:textId="2645F3F3" w:rsidR="00A96897" w:rsidRDefault="00333808" w:rsidP="00B64B2A">
      <w:pPr>
        <w:jc w:val="both"/>
        <w:rPr>
          <w:rFonts w:cstheme="minorHAnsi"/>
        </w:rPr>
      </w:pPr>
      <w:r w:rsidRPr="00333808">
        <w:rPr>
          <w:rFonts w:cstheme="minorHAnsi"/>
        </w:rPr>
        <w:t>We</w:t>
      </w:r>
      <w:r>
        <w:rPr>
          <w:rFonts w:cstheme="minorHAnsi"/>
        </w:rPr>
        <w:t xml:space="preserve"> think this discussion is coupled with the time domain limitation of the CSI-RS per MO in another discussion. If there is going to be a clear SMTC-like structure for CSI-RS, then probably RAN4 do not need to further discuss this issue.</w:t>
      </w:r>
    </w:p>
    <w:p w14:paraId="5C676F3B" w14:textId="6823C537" w:rsidR="004F09C5" w:rsidRPr="00092C27" w:rsidRDefault="00333808" w:rsidP="00092C27">
      <w:pPr>
        <w:pStyle w:val="Caption"/>
        <w:rPr>
          <w:rFonts w:cstheme="minorHAnsi"/>
        </w:rPr>
      </w:pPr>
      <w:bookmarkStart w:id="9" w:name="_Ref40010795"/>
      <w:r>
        <w:t xml:space="preserve">Proposal </w:t>
      </w:r>
      <w:r w:rsidR="00D77297">
        <w:rPr>
          <w:noProof/>
        </w:rPr>
        <w:fldChar w:fldCharType="begin"/>
      </w:r>
      <w:r w:rsidR="00D77297">
        <w:rPr>
          <w:noProof/>
        </w:rPr>
        <w:instrText xml:space="preserve"> SEQ Prop</w:instrText>
      </w:r>
      <w:r w:rsidR="00D77297">
        <w:rPr>
          <w:noProof/>
        </w:rPr>
        <w:instrText xml:space="preserve">osal \* ARABIC </w:instrText>
      </w:r>
      <w:r w:rsidR="00D77297">
        <w:rPr>
          <w:noProof/>
        </w:rPr>
        <w:fldChar w:fldCharType="separate"/>
      </w:r>
      <w:r w:rsidR="00BA5F3D">
        <w:rPr>
          <w:noProof/>
        </w:rPr>
        <w:t>7</w:t>
      </w:r>
      <w:r w:rsidR="00D77297">
        <w:rPr>
          <w:noProof/>
        </w:rPr>
        <w:fldChar w:fldCharType="end"/>
      </w:r>
      <w:r>
        <w:t xml:space="preserve">: The discussion of </w:t>
      </w:r>
      <w:r w:rsidRPr="00333808">
        <w:t>UE buffering and processing capability</w:t>
      </w:r>
      <w:r>
        <w:t xml:space="preserve"> is pending on the conclusion of </w:t>
      </w:r>
      <w:r>
        <w:rPr>
          <w:rFonts w:cstheme="minorHAnsi"/>
        </w:rPr>
        <w:t>time domain limitation of the CSI-RS per MO in another discussion.</w:t>
      </w:r>
      <w:bookmarkEnd w:id="9"/>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6BF67F26" w:rsidR="002F6C08" w:rsidRDefault="006F7557" w:rsidP="00251C87">
      <w:pPr>
        <w:adjustRightInd w:val="0"/>
        <w:snapToGrid w:val="0"/>
        <w:spacing w:before="180" w:after="120"/>
        <w:jc w:val="both"/>
      </w:pPr>
      <w:r w:rsidRPr="004D05A7">
        <w:rPr>
          <w:rFonts w:hint="eastAsia"/>
        </w:rPr>
        <w:t xml:space="preserve">In this </w:t>
      </w:r>
      <w:r w:rsidRPr="004D05A7">
        <w:t>paper</w:t>
      </w:r>
      <w:r w:rsidR="005C7F0B">
        <w:t>, we discuss the measurement capability for L3 CSI-RS measurement. We have the following proposals.</w:t>
      </w:r>
    </w:p>
    <w:p w14:paraId="72D4E36C" w14:textId="27D87F93" w:rsidR="00726081" w:rsidRPr="00726081" w:rsidRDefault="00726081" w:rsidP="00251C87">
      <w:pPr>
        <w:adjustRightInd w:val="0"/>
        <w:snapToGrid w:val="0"/>
        <w:spacing w:before="180" w:after="120"/>
        <w:jc w:val="both"/>
        <w:rPr>
          <w:b/>
          <w:sz w:val="20"/>
          <w:szCs w:val="20"/>
          <w:lang w:eastAsia="x-none"/>
        </w:rPr>
      </w:pPr>
      <w:r w:rsidRPr="00726081">
        <w:rPr>
          <w:b/>
          <w:sz w:val="20"/>
          <w:szCs w:val="20"/>
          <w:lang w:eastAsia="x-none"/>
        </w:rPr>
        <w:fldChar w:fldCharType="begin"/>
      </w:r>
      <w:r w:rsidRPr="00726081">
        <w:rPr>
          <w:b/>
          <w:sz w:val="20"/>
          <w:szCs w:val="20"/>
          <w:lang w:eastAsia="x-none"/>
        </w:rPr>
        <w:instrText xml:space="preserve"> REF _Ref40010802 \h </w:instrText>
      </w:r>
      <w:r>
        <w:rPr>
          <w:b/>
          <w:sz w:val="20"/>
          <w:szCs w:val="20"/>
          <w:lang w:eastAsia="x-none"/>
        </w:rPr>
        <w:instrText xml:space="preserve"> \* MERGEFORMAT </w:instrText>
      </w:r>
      <w:r w:rsidRPr="00726081">
        <w:rPr>
          <w:b/>
          <w:sz w:val="20"/>
          <w:szCs w:val="20"/>
          <w:lang w:eastAsia="x-none"/>
        </w:rPr>
      </w:r>
      <w:r w:rsidRPr="00726081">
        <w:rPr>
          <w:b/>
          <w:sz w:val="20"/>
          <w:szCs w:val="20"/>
          <w:lang w:eastAsia="x-none"/>
        </w:rPr>
        <w:fldChar w:fldCharType="separate"/>
      </w:r>
      <w:r w:rsidR="00BA5F3D" w:rsidRPr="00BA5F3D">
        <w:rPr>
          <w:b/>
          <w:sz w:val="20"/>
          <w:szCs w:val="20"/>
          <w:lang w:eastAsia="x-none"/>
        </w:rPr>
        <w:t>Proposal 1: One MO is one frequency layer. Different MOs are different frequency layers.</w:t>
      </w:r>
      <w:r w:rsidRPr="00726081">
        <w:rPr>
          <w:b/>
          <w:sz w:val="20"/>
          <w:szCs w:val="20"/>
          <w:lang w:eastAsia="x-none"/>
        </w:rPr>
        <w:fldChar w:fldCharType="end"/>
      </w:r>
    </w:p>
    <w:p w14:paraId="7AC82FEF" w14:textId="37A2EEF6" w:rsidR="00726081" w:rsidRPr="00726081" w:rsidRDefault="00726081" w:rsidP="00251C87">
      <w:pPr>
        <w:adjustRightInd w:val="0"/>
        <w:snapToGrid w:val="0"/>
        <w:spacing w:before="180" w:after="120"/>
        <w:jc w:val="both"/>
        <w:rPr>
          <w:b/>
          <w:sz w:val="20"/>
          <w:szCs w:val="20"/>
          <w:lang w:eastAsia="x-none"/>
        </w:rPr>
      </w:pPr>
      <w:r w:rsidRPr="00726081">
        <w:rPr>
          <w:b/>
          <w:sz w:val="20"/>
          <w:szCs w:val="20"/>
          <w:lang w:eastAsia="x-none"/>
        </w:rPr>
        <w:fldChar w:fldCharType="begin"/>
      </w:r>
      <w:r w:rsidRPr="00726081">
        <w:rPr>
          <w:b/>
          <w:sz w:val="20"/>
          <w:szCs w:val="20"/>
          <w:lang w:eastAsia="x-none"/>
        </w:rPr>
        <w:instrText xml:space="preserve"> REF _Ref40010786 \h </w:instrText>
      </w:r>
      <w:r>
        <w:rPr>
          <w:b/>
          <w:sz w:val="20"/>
          <w:szCs w:val="20"/>
          <w:lang w:eastAsia="x-none"/>
        </w:rPr>
        <w:instrText xml:space="preserve"> \* MERGEFORMAT </w:instrText>
      </w:r>
      <w:r w:rsidRPr="00726081">
        <w:rPr>
          <w:b/>
          <w:sz w:val="20"/>
          <w:szCs w:val="20"/>
          <w:lang w:eastAsia="x-none"/>
        </w:rPr>
      </w:r>
      <w:r w:rsidRPr="00726081">
        <w:rPr>
          <w:b/>
          <w:sz w:val="20"/>
          <w:szCs w:val="20"/>
          <w:lang w:eastAsia="x-none"/>
        </w:rPr>
        <w:fldChar w:fldCharType="separate"/>
      </w:r>
      <w:r w:rsidR="00BA5F3D" w:rsidRPr="00BA5F3D">
        <w:rPr>
          <w:b/>
          <w:sz w:val="20"/>
          <w:szCs w:val="20"/>
          <w:lang w:eastAsia="x-none"/>
        </w:rPr>
        <w:t xml:space="preserve">Proposal 2: The layers to be monitored based on CSI-RS can only be a subset of the layers to be monitored based on SSB. The minimum # of layers to be measured based on CSI-RS is the same as that for </w:t>
      </w:r>
      <w:r w:rsidR="00BA5F3D">
        <w:rPr>
          <w:rFonts w:cstheme="minorHAnsi"/>
        </w:rPr>
        <w:t>SSB.</w:t>
      </w:r>
      <w:r w:rsidRPr="00726081">
        <w:rPr>
          <w:b/>
          <w:sz w:val="20"/>
          <w:szCs w:val="20"/>
          <w:lang w:eastAsia="x-none"/>
        </w:rPr>
        <w:fldChar w:fldCharType="end"/>
      </w:r>
    </w:p>
    <w:p w14:paraId="7A4019DC" w14:textId="00B634EE" w:rsidR="00726081" w:rsidRPr="00726081" w:rsidRDefault="00726081" w:rsidP="00251C87">
      <w:pPr>
        <w:adjustRightInd w:val="0"/>
        <w:snapToGrid w:val="0"/>
        <w:spacing w:before="180" w:after="120"/>
        <w:jc w:val="both"/>
        <w:rPr>
          <w:b/>
          <w:sz w:val="20"/>
          <w:szCs w:val="20"/>
          <w:lang w:eastAsia="x-none"/>
        </w:rPr>
      </w:pPr>
      <w:r w:rsidRPr="00726081">
        <w:rPr>
          <w:b/>
          <w:sz w:val="20"/>
          <w:szCs w:val="20"/>
          <w:lang w:eastAsia="x-none"/>
        </w:rPr>
        <w:fldChar w:fldCharType="begin"/>
      </w:r>
      <w:r w:rsidRPr="00726081">
        <w:rPr>
          <w:b/>
          <w:sz w:val="20"/>
          <w:szCs w:val="20"/>
          <w:lang w:eastAsia="x-none"/>
        </w:rPr>
        <w:instrText xml:space="preserve"> REF _Ref40010788 \h </w:instrText>
      </w:r>
      <w:r>
        <w:rPr>
          <w:b/>
          <w:sz w:val="20"/>
          <w:szCs w:val="20"/>
          <w:lang w:eastAsia="x-none"/>
        </w:rPr>
        <w:instrText xml:space="preserve"> \* MERGEFORMAT </w:instrText>
      </w:r>
      <w:r w:rsidRPr="00726081">
        <w:rPr>
          <w:b/>
          <w:sz w:val="20"/>
          <w:szCs w:val="20"/>
          <w:lang w:eastAsia="x-none"/>
        </w:rPr>
      </w:r>
      <w:r w:rsidRPr="00726081">
        <w:rPr>
          <w:b/>
          <w:sz w:val="20"/>
          <w:szCs w:val="20"/>
          <w:lang w:eastAsia="x-none"/>
        </w:rPr>
        <w:fldChar w:fldCharType="separate"/>
      </w:r>
      <w:r w:rsidR="00BA5F3D" w:rsidRPr="00BA5F3D">
        <w:rPr>
          <w:b/>
          <w:sz w:val="20"/>
          <w:szCs w:val="20"/>
          <w:lang w:eastAsia="x-none"/>
        </w:rPr>
        <w:t>Proposal 3: The cells to be monitored based on CSI-RS can only be a subset of the cells to be monitored based on SSB. The minimum # of cells to be measured based on CSI-RS is the same as that</w:t>
      </w:r>
      <w:r w:rsidR="00BA5F3D">
        <w:rPr>
          <w:rFonts w:cstheme="minorHAnsi"/>
        </w:rPr>
        <w:t xml:space="preserve"> for</w:t>
      </w:r>
      <w:r w:rsidRPr="00726081">
        <w:rPr>
          <w:b/>
          <w:sz w:val="20"/>
          <w:szCs w:val="20"/>
          <w:lang w:eastAsia="x-none"/>
        </w:rPr>
        <w:fldChar w:fldCharType="end"/>
      </w:r>
    </w:p>
    <w:p w14:paraId="439C9387" w14:textId="69192E9A" w:rsidR="00726081" w:rsidRPr="00726081" w:rsidRDefault="00726081" w:rsidP="00251C87">
      <w:pPr>
        <w:adjustRightInd w:val="0"/>
        <w:snapToGrid w:val="0"/>
        <w:spacing w:before="180" w:after="120"/>
        <w:jc w:val="both"/>
        <w:rPr>
          <w:b/>
          <w:sz w:val="20"/>
          <w:szCs w:val="20"/>
          <w:lang w:eastAsia="x-none"/>
        </w:rPr>
      </w:pPr>
      <w:r w:rsidRPr="00726081">
        <w:rPr>
          <w:b/>
          <w:sz w:val="20"/>
          <w:szCs w:val="20"/>
          <w:lang w:eastAsia="x-none"/>
        </w:rPr>
        <w:lastRenderedPageBreak/>
        <w:fldChar w:fldCharType="begin"/>
      </w:r>
      <w:r w:rsidRPr="00726081">
        <w:rPr>
          <w:b/>
          <w:sz w:val="20"/>
          <w:szCs w:val="20"/>
          <w:lang w:eastAsia="x-none"/>
        </w:rPr>
        <w:instrText xml:space="preserve"> REF _Ref31548961 \h </w:instrText>
      </w:r>
      <w:r>
        <w:rPr>
          <w:b/>
          <w:sz w:val="20"/>
          <w:szCs w:val="20"/>
          <w:lang w:eastAsia="x-none"/>
        </w:rPr>
        <w:instrText xml:space="preserve"> \* MERGEFORMAT </w:instrText>
      </w:r>
      <w:r w:rsidRPr="00726081">
        <w:rPr>
          <w:b/>
          <w:sz w:val="20"/>
          <w:szCs w:val="20"/>
          <w:lang w:eastAsia="x-none"/>
        </w:rPr>
      </w:r>
      <w:r w:rsidRPr="00726081">
        <w:rPr>
          <w:b/>
          <w:sz w:val="20"/>
          <w:szCs w:val="20"/>
          <w:lang w:eastAsia="x-none"/>
        </w:rPr>
        <w:fldChar w:fldCharType="separate"/>
      </w:r>
      <w:r w:rsidR="00BA5F3D" w:rsidRPr="00FC2410">
        <w:rPr>
          <w:b/>
          <w:sz w:val="20"/>
          <w:szCs w:val="20"/>
          <w:lang w:eastAsia="x-none"/>
        </w:rPr>
        <w:t xml:space="preserve">Proposal </w:t>
      </w:r>
      <w:r w:rsidR="00BA5F3D">
        <w:rPr>
          <w:b/>
          <w:sz w:val="20"/>
          <w:szCs w:val="20"/>
          <w:lang w:eastAsia="x-none"/>
        </w:rPr>
        <w:t>4</w:t>
      </w:r>
      <w:r w:rsidR="00BA5F3D" w:rsidRPr="00FC2410">
        <w:rPr>
          <w:b/>
          <w:sz w:val="20"/>
          <w:szCs w:val="20"/>
          <w:lang w:eastAsia="x-none"/>
        </w:rPr>
        <w:t xml:space="preserve">: </w:t>
      </w:r>
      <w:r w:rsidR="00BA5F3D" w:rsidRPr="00B64611">
        <w:rPr>
          <w:b/>
          <w:sz w:val="20"/>
          <w:szCs w:val="20"/>
          <w:lang w:eastAsia="x-none"/>
        </w:rPr>
        <w:t xml:space="preserve">If the number of remaining CSI-RS resources to be measured with </w:t>
      </w:r>
      <w:r w:rsidR="00BA5F3D">
        <w:rPr>
          <w:b/>
          <w:sz w:val="20"/>
          <w:szCs w:val="20"/>
          <w:lang w:eastAsia="x-none"/>
        </w:rPr>
        <w:t xml:space="preserve">detectable </w:t>
      </w:r>
      <w:r w:rsidR="00BA5F3D" w:rsidRPr="00B64611">
        <w:rPr>
          <w:b/>
          <w:sz w:val="20"/>
          <w:szCs w:val="20"/>
          <w:lang w:eastAsia="x-none"/>
        </w:rPr>
        <w:t>associated SSB in an MO is larger than the UE measurement capability, the UE behavior is undefined</w:t>
      </w:r>
      <w:r w:rsidR="00BA5F3D" w:rsidRPr="00FC2410">
        <w:rPr>
          <w:b/>
          <w:sz w:val="20"/>
          <w:szCs w:val="20"/>
          <w:lang w:eastAsia="x-none"/>
        </w:rPr>
        <w:t>.</w:t>
      </w:r>
      <w:r w:rsidRPr="00726081">
        <w:rPr>
          <w:b/>
          <w:sz w:val="20"/>
          <w:szCs w:val="20"/>
          <w:lang w:eastAsia="x-none"/>
        </w:rPr>
        <w:fldChar w:fldCharType="end"/>
      </w:r>
    </w:p>
    <w:p w14:paraId="3984CB94" w14:textId="061DC73B" w:rsidR="00726081" w:rsidRPr="00726081" w:rsidRDefault="00726081" w:rsidP="00251C87">
      <w:pPr>
        <w:adjustRightInd w:val="0"/>
        <w:snapToGrid w:val="0"/>
        <w:spacing w:before="180" w:after="120"/>
        <w:jc w:val="both"/>
        <w:rPr>
          <w:b/>
          <w:sz w:val="20"/>
          <w:szCs w:val="20"/>
          <w:lang w:eastAsia="x-none"/>
        </w:rPr>
      </w:pPr>
      <w:r w:rsidRPr="00726081">
        <w:rPr>
          <w:b/>
          <w:sz w:val="20"/>
          <w:szCs w:val="20"/>
          <w:lang w:eastAsia="x-none"/>
        </w:rPr>
        <w:fldChar w:fldCharType="begin"/>
      </w:r>
      <w:r w:rsidRPr="00726081">
        <w:rPr>
          <w:b/>
          <w:sz w:val="20"/>
          <w:szCs w:val="20"/>
          <w:lang w:eastAsia="x-none"/>
        </w:rPr>
        <w:instrText xml:space="preserve"> REF _Ref20519683 \h </w:instrText>
      </w:r>
      <w:r>
        <w:rPr>
          <w:b/>
          <w:sz w:val="20"/>
          <w:szCs w:val="20"/>
          <w:lang w:eastAsia="x-none"/>
        </w:rPr>
        <w:instrText xml:space="preserve"> \* MERGEFORMAT </w:instrText>
      </w:r>
      <w:r w:rsidRPr="00726081">
        <w:rPr>
          <w:b/>
          <w:sz w:val="20"/>
          <w:szCs w:val="20"/>
          <w:lang w:eastAsia="x-none"/>
        </w:rPr>
      </w:r>
      <w:r w:rsidRPr="00726081">
        <w:rPr>
          <w:b/>
          <w:sz w:val="20"/>
          <w:szCs w:val="20"/>
          <w:lang w:eastAsia="x-none"/>
        </w:rPr>
        <w:fldChar w:fldCharType="separate"/>
      </w:r>
      <w:r w:rsidR="00BA5F3D" w:rsidRPr="00BA5F3D">
        <w:rPr>
          <w:b/>
          <w:sz w:val="20"/>
          <w:szCs w:val="20"/>
          <w:lang w:eastAsia="x-none"/>
        </w:rPr>
        <w:t>Proposal 5: Regarding the number of CSI-RS (beams) to be monitored per layer based on L3 CSI-RS, requirements defined the same requirements as those for SSB.</w:t>
      </w:r>
      <w:r w:rsidRPr="00726081">
        <w:rPr>
          <w:b/>
          <w:sz w:val="20"/>
          <w:szCs w:val="20"/>
          <w:lang w:eastAsia="x-none"/>
        </w:rPr>
        <w:fldChar w:fldCharType="end"/>
      </w:r>
    </w:p>
    <w:p w14:paraId="4FDF32F1" w14:textId="3F70D5FC" w:rsidR="00726081" w:rsidRPr="00726081" w:rsidRDefault="00726081" w:rsidP="00251C87">
      <w:pPr>
        <w:adjustRightInd w:val="0"/>
        <w:snapToGrid w:val="0"/>
        <w:spacing w:before="180" w:after="120"/>
        <w:jc w:val="both"/>
        <w:rPr>
          <w:b/>
          <w:sz w:val="20"/>
          <w:szCs w:val="20"/>
          <w:lang w:eastAsia="x-none"/>
        </w:rPr>
      </w:pPr>
      <w:r w:rsidRPr="00726081">
        <w:rPr>
          <w:b/>
          <w:sz w:val="20"/>
          <w:szCs w:val="20"/>
          <w:lang w:eastAsia="x-none"/>
        </w:rPr>
        <w:fldChar w:fldCharType="begin"/>
      </w:r>
      <w:r w:rsidRPr="00726081">
        <w:rPr>
          <w:b/>
          <w:sz w:val="20"/>
          <w:szCs w:val="20"/>
          <w:lang w:eastAsia="x-none"/>
        </w:rPr>
        <w:instrText xml:space="preserve"> REF _Ref40010793 \h </w:instrText>
      </w:r>
      <w:r>
        <w:rPr>
          <w:b/>
          <w:sz w:val="20"/>
          <w:szCs w:val="20"/>
          <w:lang w:eastAsia="x-none"/>
        </w:rPr>
        <w:instrText xml:space="preserve"> \* MERGEFORMAT </w:instrText>
      </w:r>
      <w:r w:rsidRPr="00726081">
        <w:rPr>
          <w:b/>
          <w:sz w:val="20"/>
          <w:szCs w:val="20"/>
          <w:lang w:eastAsia="x-none"/>
        </w:rPr>
      </w:r>
      <w:r w:rsidRPr="00726081">
        <w:rPr>
          <w:b/>
          <w:sz w:val="20"/>
          <w:szCs w:val="20"/>
          <w:lang w:eastAsia="x-none"/>
        </w:rPr>
        <w:fldChar w:fldCharType="separate"/>
      </w:r>
      <w:r w:rsidR="00BA5F3D" w:rsidRPr="00BA5F3D">
        <w:rPr>
          <w:b/>
          <w:sz w:val="20"/>
          <w:szCs w:val="20"/>
          <w:lang w:eastAsia="x-none"/>
        </w:rPr>
        <w:t xml:space="preserve">Proposal </w:t>
      </w:r>
      <w:r w:rsidR="00BA5F3D" w:rsidRPr="00BA5F3D">
        <w:rPr>
          <w:b/>
          <w:sz w:val="20"/>
          <w:szCs w:val="20"/>
          <w:lang w:eastAsia="x-none"/>
        </w:rPr>
        <w:t>6</w:t>
      </w:r>
      <w:r w:rsidR="00BA5F3D" w:rsidRPr="00BA5F3D">
        <w:rPr>
          <w:b/>
          <w:sz w:val="20"/>
          <w:szCs w:val="20"/>
          <w:lang w:eastAsia="x-none"/>
        </w:rPr>
        <w:t>: Since only requirements with associated SSB will be defined, the UE processing capability in a slot per MO should be revised to consider only the CSI-RS resources to be measured with detectable associated SSB.</w:t>
      </w:r>
      <w:r w:rsidRPr="00726081">
        <w:rPr>
          <w:b/>
          <w:sz w:val="20"/>
          <w:szCs w:val="20"/>
          <w:lang w:eastAsia="x-none"/>
        </w:rPr>
        <w:fldChar w:fldCharType="end"/>
      </w:r>
    </w:p>
    <w:p w14:paraId="6FB14BAB" w14:textId="66CDFD2F" w:rsidR="00726081" w:rsidRPr="00726081" w:rsidRDefault="00726081" w:rsidP="00251C87">
      <w:pPr>
        <w:adjustRightInd w:val="0"/>
        <w:snapToGrid w:val="0"/>
        <w:spacing w:before="180" w:after="120"/>
        <w:jc w:val="both"/>
        <w:rPr>
          <w:b/>
          <w:sz w:val="20"/>
          <w:szCs w:val="20"/>
          <w:lang w:eastAsia="x-none"/>
        </w:rPr>
      </w:pPr>
      <w:r w:rsidRPr="00726081">
        <w:rPr>
          <w:b/>
          <w:sz w:val="20"/>
          <w:szCs w:val="20"/>
          <w:lang w:eastAsia="x-none"/>
        </w:rPr>
        <w:fldChar w:fldCharType="begin"/>
      </w:r>
      <w:r w:rsidRPr="00726081">
        <w:rPr>
          <w:b/>
          <w:sz w:val="20"/>
          <w:szCs w:val="20"/>
          <w:lang w:eastAsia="x-none"/>
        </w:rPr>
        <w:instrText xml:space="preserve"> REF _Ref40010795 \h </w:instrText>
      </w:r>
      <w:r>
        <w:rPr>
          <w:b/>
          <w:sz w:val="20"/>
          <w:szCs w:val="20"/>
          <w:lang w:eastAsia="x-none"/>
        </w:rPr>
        <w:instrText xml:space="preserve"> \* MERGEFORMAT </w:instrText>
      </w:r>
      <w:r w:rsidRPr="00726081">
        <w:rPr>
          <w:b/>
          <w:sz w:val="20"/>
          <w:szCs w:val="20"/>
          <w:lang w:eastAsia="x-none"/>
        </w:rPr>
      </w:r>
      <w:r w:rsidRPr="00726081">
        <w:rPr>
          <w:b/>
          <w:sz w:val="20"/>
          <w:szCs w:val="20"/>
          <w:lang w:eastAsia="x-none"/>
        </w:rPr>
        <w:fldChar w:fldCharType="separate"/>
      </w:r>
      <w:r w:rsidR="00BA5F3D" w:rsidRPr="00BA5F3D">
        <w:rPr>
          <w:b/>
          <w:sz w:val="20"/>
          <w:szCs w:val="20"/>
          <w:lang w:eastAsia="x-none"/>
        </w:rPr>
        <w:t>Proposal 7: The discussion of UE buffering and processing capability is pending on the conclusion of time domain limitation of the CSI-RS per MO in another discussion.</w:t>
      </w:r>
      <w:r w:rsidRPr="00726081">
        <w:rPr>
          <w:b/>
          <w:sz w:val="20"/>
          <w:szCs w:val="20"/>
          <w:lang w:eastAsia="x-none"/>
        </w:rPr>
        <w:fldChar w:fldCharType="end"/>
      </w:r>
    </w:p>
    <w:p w14:paraId="2E96BB97" w14:textId="77777777" w:rsidR="00842EE0" w:rsidRPr="00AE318B" w:rsidRDefault="00842EE0" w:rsidP="008F1284">
      <w:pPr>
        <w:pStyle w:val="Heading1"/>
        <w:numPr>
          <w:ilvl w:val="0"/>
          <w:numId w:val="1"/>
        </w:numPr>
        <w:rPr>
          <w:rFonts w:ascii="Calibri" w:hAnsi="Calibri"/>
        </w:rPr>
      </w:pPr>
      <w:r w:rsidRPr="00AE318B">
        <w:rPr>
          <w:rFonts w:ascii="Calibri" w:hAnsi="Calibri" w:hint="eastAsia"/>
        </w:rPr>
        <w:t>Reference</w:t>
      </w:r>
    </w:p>
    <w:p w14:paraId="191EE729" w14:textId="0893AD8A" w:rsidR="00842EE0" w:rsidRPr="00AE318B" w:rsidRDefault="0090653B" w:rsidP="00872564">
      <w:pPr>
        <w:overflowPunct w:val="0"/>
        <w:autoSpaceDE w:val="0"/>
        <w:autoSpaceDN w:val="0"/>
        <w:adjustRightInd w:val="0"/>
        <w:textAlignment w:val="baseline"/>
        <w:rPr>
          <w:sz w:val="20"/>
          <w:lang w:eastAsia="ko-KR"/>
        </w:rPr>
      </w:pPr>
      <w:r w:rsidRPr="00AE318B">
        <w:rPr>
          <w:sz w:val="20"/>
          <w:lang w:eastAsia="ko-KR"/>
        </w:rPr>
        <w:t xml:space="preserve">[1] </w:t>
      </w:r>
      <w:r w:rsidR="00D21904" w:rsidRPr="00AE318B">
        <w:rPr>
          <w:sz w:val="20"/>
          <w:lang w:eastAsia="ko-KR"/>
        </w:rPr>
        <w:t>R4-2005357</w:t>
      </w:r>
      <w:r w:rsidRPr="00AE318B">
        <w:rPr>
          <w:sz w:val="20"/>
          <w:lang w:eastAsia="ko-KR"/>
        </w:rPr>
        <w:t>, “</w:t>
      </w:r>
      <w:r w:rsidR="004F12F2" w:rsidRPr="00AE318B">
        <w:rPr>
          <w:sz w:val="20"/>
          <w:lang w:eastAsia="ko-KR"/>
        </w:rPr>
        <w:t>WF on CSI-RS based L3 measurement capability and requirements</w:t>
      </w:r>
      <w:r w:rsidRPr="00AE318B">
        <w:rPr>
          <w:sz w:val="20"/>
          <w:lang w:eastAsia="ko-KR"/>
        </w:rPr>
        <w:t xml:space="preserve">”, </w:t>
      </w:r>
      <w:r w:rsidR="004F12F2" w:rsidRPr="00AE318B">
        <w:rPr>
          <w:sz w:val="20"/>
          <w:lang w:eastAsia="ko-KR"/>
        </w:rPr>
        <w:t>OPPO</w:t>
      </w:r>
    </w:p>
    <w:bookmarkEnd w:id="0"/>
    <w:p w14:paraId="087F7C85" w14:textId="7047CB2D" w:rsidR="009D7801" w:rsidRPr="00A473CD" w:rsidRDefault="009D7801" w:rsidP="00872564">
      <w:pPr>
        <w:overflowPunct w:val="0"/>
        <w:autoSpaceDE w:val="0"/>
        <w:autoSpaceDN w:val="0"/>
        <w:adjustRightInd w:val="0"/>
        <w:textAlignment w:val="baseline"/>
        <w:rPr>
          <w:color w:val="0000FF"/>
          <w:sz w:val="20"/>
          <w:lang w:eastAsia="ko-KR"/>
        </w:rPr>
      </w:pPr>
    </w:p>
    <w:sectPr w:rsidR="009D7801" w:rsidRPr="00A473C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F21CF" w14:textId="77777777" w:rsidR="00D77297" w:rsidRDefault="00D77297">
      <w:r>
        <w:separator/>
      </w:r>
    </w:p>
  </w:endnote>
  <w:endnote w:type="continuationSeparator" w:id="0">
    <w:p w14:paraId="50750A62" w14:textId="77777777" w:rsidR="00D77297" w:rsidRDefault="00D7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1175E" w14:textId="77777777" w:rsidR="00D77297" w:rsidRDefault="00D77297">
      <w:r>
        <w:separator/>
      </w:r>
    </w:p>
  </w:footnote>
  <w:footnote w:type="continuationSeparator" w:id="0">
    <w:p w14:paraId="36CCED5C" w14:textId="77777777" w:rsidR="00D77297" w:rsidRDefault="00D772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F5E20"/>
    <w:multiLevelType w:val="hybridMultilevel"/>
    <w:tmpl w:val="B608E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33B37"/>
    <w:multiLevelType w:val="hybridMultilevel"/>
    <w:tmpl w:val="D4E4C6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3" w15:restartNumberingAfterBreak="0">
    <w:nsid w:val="6C071A4E"/>
    <w:multiLevelType w:val="hybridMultilevel"/>
    <w:tmpl w:val="CAC21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1"/>
  </w:num>
  <w:num w:numId="5">
    <w:abstractNumId w:val="7"/>
  </w:num>
  <w:num w:numId="6">
    <w:abstractNumId w:val="11"/>
  </w:num>
  <w:num w:numId="7">
    <w:abstractNumId w:val="9"/>
  </w:num>
  <w:num w:numId="8">
    <w:abstractNumId w:val="15"/>
  </w:num>
  <w:num w:numId="9">
    <w:abstractNumId w:val="10"/>
  </w:num>
  <w:num w:numId="10">
    <w:abstractNumId w:val="0"/>
  </w:num>
  <w:num w:numId="11">
    <w:abstractNumId w:val="4"/>
  </w:num>
  <w:num w:numId="12">
    <w:abstractNumId w:val="12"/>
  </w:num>
  <w:num w:numId="13">
    <w:abstractNumId w:val="17"/>
  </w:num>
  <w:num w:numId="14">
    <w:abstractNumId w:val="3"/>
  </w:num>
  <w:num w:numId="15">
    <w:abstractNumId w:val="5"/>
  </w:num>
  <w:num w:numId="16">
    <w:abstractNumId w:val="13"/>
  </w:num>
  <w:num w:numId="17">
    <w:abstractNumId w:val="16"/>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20"/>
    <w:rsid w:val="00063754"/>
    <w:rsid w:val="00063BD7"/>
    <w:rsid w:val="00063D9E"/>
    <w:rsid w:val="000641A5"/>
    <w:rsid w:val="000644F6"/>
    <w:rsid w:val="00064AD3"/>
    <w:rsid w:val="00064E12"/>
    <w:rsid w:val="00064EE8"/>
    <w:rsid w:val="00065792"/>
    <w:rsid w:val="00066BC9"/>
    <w:rsid w:val="00066FF1"/>
    <w:rsid w:val="00067353"/>
    <w:rsid w:val="00067520"/>
    <w:rsid w:val="0006795F"/>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C27"/>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5F5"/>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06B"/>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3DD9"/>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91A"/>
    <w:rsid w:val="00157A80"/>
    <w:rsid w:val="001601A8"/>
    <w:rsid w:val="001602F4"/>
    <w:rsid w:val="00160345"/>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6F99"/>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5DBD"/>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28A"/>
    <w:rsid w:val="001C14EC"/>
    <w:rsid w:val="001C15DA"/>
    <w:rsid w:val="001C2489"/>
    <w:rsid w:val="001C24BB"/>
    <w:rsid w:val="001C2686"/>
    <w:rsid w:val="001C4337"/>
    <w:rsid w:val="001C4676"/>
    <w:rsid w:val="001C4D9F"/>
    <w:rsid w:val="001C4EEC"/>
    <w:rsid w:val="001C5506"/>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088"/>
    <w:rsid w:val="00203389"/>
    <w:rsid w:val="00203804"/>
    <w:rsid w:val="002046F8"/>
    <w:rsid w:val="0020478D"/>
    <w:rsid w:val="00204B3A"/>
    <w:rsid w:val="00204CD7"/>
    <w:rsid w:val="00205244"/>
    <w:rsid w:val="00205C06"/>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9C"/>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4F"/>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6"/>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098E"/>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8A6"/>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C69"/>
    <w:rsid w:val="0032302D"/>
    <w:rsid w:val="00324663"/>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808"/>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2FEC"/>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3B"/>
    <w:rsid w:val="00393BF1"/>
    <w:rsid w:val="00394075"/>
    <w:rsid w:val="00394333"/>
    <w:rsid w:val="00394557"/>
    <w:rsid w:val="00394A1B"/>
    <w:rsid w:val="00395543"/>
    <w:rsid w:val="00395ECD"/>
    <w:rsid w:val="00395FFF"/>
    <w:rsid w:val="003965B3"/>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51D0"/>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2AE7"/>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0B7"/>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3F86"/>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6BF"/>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465"/>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1B9"/>
    <w:rsid w:val="00475329"/>
    <w:rsid w:val="00475688"/>
    <w:rsid w:val="0047572E"/>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5F47"/>
    <w:rsid w:val="004E604B"/>
    <w:rsid w:val="004E6579"/>
    <w:rsid w:val="004E6F16"/>
    <w:rsid w:val="004F00EC"/>
    <w:rsid w:val="004F02D8"/>
    <w:rsid w:val="004F09C5"/>
    <w:rsid w:val="004F0D2A"/>
    <w:rsid w:val="004F0DB4"/>
    <w:rsid w:val="004F1097"/>
    <w:rsid w:val="004F12F2"/>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75C"/>
    <w:rsid w:val="00520899"/>
    <w:rsid w:val="00521084"/>
    <w:rsid w:val="00521BFC"/>
    <w:rsid w:val="00522281"/>
    <w:rsid w:val="00522956"/>
    <w:rsid w:val="00523F0C"/>
    <w:rsid w:val="00524DC5"/>
    <w:rsid w:val="00525454"/>
    <w:rsid w:val="0052602F"/>
    <w:rsid w:val="00526523"/>
    <w:rsid w:val="00527A83"/>
    <w:rsid w:val="00527AC9"/>
    <w:rsid w:val="00527B01"/>
    <w:rsid w:val="0053004F"/>
    <w:rsid w:val="005300F9"/>
    <w:rsid w:val="005308BA"/>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0A54"/>
    <w:rsid w:val="00591F58"/>
    <w:rsid w:val="00592055"/>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1D9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EF"/>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EB9"/>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FDF"/>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2AF"/>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2E1"/>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081"/>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524"/>
    <w:rsid w:val="007759C7"/>
    <w:rsid w:val="00775BC0"/>
    <w:rsid w:val="00775BF3"/>
    <w:rsid w:val="00775F29"/>
    <w:rsid w:val="00776A22"/>
    <w:rsid w:val="00776C35"/>
    <w:rsid w:val="007770D2"/>
    <w:rsid w:val="00777654"/>
    <w:rsid w:val="00777A30"/>
    <w:rsid w:val="007804C7"/>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0E"/>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EA5"/>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5B9"/>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61"/>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7E3"/>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263"/>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184"/>
    <w:rsid w:val="00847204"/>
    <w:rsid w:val="00847C25"/>
    <w:rsid w:val="00847EE6"/>
    <w:rsid w:val="00850FA2"/>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191"/>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2AF5"/>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2D16"/>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85D"/>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AA3"/>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230"/>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3C3"/>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D9D"/>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81B"/>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5317"/>
    <w:rsid w:val="009A5D2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626"/>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801"/>
    <w:rsid w:val="009E007B"/>
    <w:rsid w:val="009E00D3"/>
    <w:rsid w:val="009E031D"/>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1D2"/>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3CD"/>
    <w:rsid w:val="00A47952"/>
    <w:rsid w:val="00A5026F"/>
    <w:rsid w:val="00A50461"/>
    <w:rsid w:val="00A50805"/>
    <w:rsid w:val="00A50AC8"/>
    <w:rsid w:val="00A50CD6"/>
    <w:rsid w:val="00A51C0E"/>
    <w:rsid w:val="00A52E06"/>
    <w:rsid w:val="00A539BC"/>
    <w:rsid w:val="00A53AFE"/>
    <w:rsid w:val="00A54B8D"/>
    <w:rsid w:val="00A54DED"/>
    <w:rsid w:val="00A55235"/>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3FA"/>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897"/>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18B"/>
    <w:rsid w:val="00AE3F89"/>
    <w:rsid w:val="00AE4A5C"/>
    <w:rsid w:val="00AE55D0"/>
    <w:rsid w:val="00AE5CE6"/>
    <w:rsid w:val="00AE607A"/>
    <w:rsid w:val="00AE6310"/>
    <w:rsid w:val="00AE63A7"/>
    <w:rsid w:val="00AE6449"/>
    <w:rsid w:val="00AE6527"/>
    <w:rsid w:val="00AE66D4"/>
    <w:rsid w:val="00AE66F5"/>
    <w:rsid w:val="00AE6BB0"/>
    <w:rsid w:val="00AE6C0F"/>
    <w:rsid w:val="00AE6EC6"/>
    <w:rsid w:val="00AE6FE0"/>
    <w:rsid w:val="00AE74C2"/>
    <w:rsid w:val="00AE79C1"/>
    <w:rsid w:val="00AF00BB"/>
    <w:rsid w:val="00AF02F9"/>
    <w:rsid w:val="00AF039E"/>
    <w:rsid w:val="00AF0AEA"/>
    <w:rsid w:val="00AF0EC4"/>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2E8F"/>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29ED"/>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1"/>
    <w:rsid w:val="00B64619"/>
    <w:rsid w:val="00B64AE9"/>
    <w:rsid w:val="00B64B2A"/>
    <w:rsid w:val="00B64E9E"/>
    <w:rsid w:val="00B65687"/>
    <w:rsid w:val="00B657C7"/>
    <w:rsid w:val="00B65AAE"/>
    <w:rsid w:val="00B66066"/>
    <w:rsid w:val="00B66384"/>
    <w:rsid w:val="00B6669E"/>
    <w:rsid w:val="00B67F29"/>
    <w:rsid w:val="00B70161"/>
    <w:rsid w:val="00B70445"/>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5CA2"/>
    <w:rsid w:val="00BA5F3D"/>
    <w:rsid w:val="00BA6367"/>
    <w:rsid w:val="00BA6446"/>
    <w:rsid w:val="00BA668E"/>
    <w:rsid w:val="00BA66DA"/>
    <w:rsid w:val="00BA6FAD"/>
    <w:rsid w:val="00BA70AC"/>
    <w:rsid w:val="00BA7235"/>
    <w:rsid w:val="00BA7D32"/>
    <w:rsid w:val="00BA7F5F"/>
    <w:rsid w:val="00BB045C"/>
    <w:rsid w:val="00BB07B8"/>
    <w:rsid w:val="00BB0816"/>
    <w:rsid w:val="00BB0D1E"/>
    <w:rsid w:val="00BB10BF"/>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2AF"/>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0C2"/>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38D"/>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6D1"/>
    <w:rsid w:val="00C22862"/>
    <w:rsid w:val="00C23D53"/>
    <w:rsid w:val="00C24246"/>
    <w:rsid w:val="00C245BB"/>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5962"/>
    <w:rsid w:val="00C76E32"/>
    <w:rsid w:val="00C7701D"/>
    <w:rsid w:val="00C770FB"/>
    <w:rsid w:val="00C77675"/>
    <w:rsid w:val="00C77C25"/>
    <w:rsid w:val="00C77EA1"/>
    <w:rsid w:val="00C8069B"/>
    <w:rsid w:val="00C80C7A"/>
    <w:rsid w:val="00C80E46"/>
    <w:rsid w:val="00C81246"/>
    <w:rsid w:val="00C816B6"/>
    <w:rsid w:val="00C81A7E"/>
    <w:rsid w:val="00C81FA2"/>
    <w:rsid w:val="00C8287D"/>
    <w:rsid w:val="00C82963"/>
    <w:rsid w:val="00C83EBA"/>
    <w:rsid w:val="00C846C0"/>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C9"/>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036"/>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0A"/>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1904"/>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2ECD"/>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297"/>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297"/>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22C7"/>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10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3CF5"/>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7AF"/>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155"/>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D7D28"/>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4B29"/>
    <w:rsid w:val="00EF5A32"/>
    <w:rsid w:val="00EF5B80"/>
    <w:rsid w:val="00EF613C"/>
    <w:rsid w:val="00EF6954"/>
    <w:rsid w:val="00EF7B81"/>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AB8"/>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70F"/>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689"/>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410"/>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279"/>
    <w:rsid w:val="00FD7B0A"/>
    <w:rsid w:val="00FD7C31"/>
    <w:rsid w:val="00FD7CCC"/>
    <w:rsid w:val="00FE002E"/>
    <w:rsid w:val="00FE049A"/>
    <w:rsid w:val="00FE07B5"/>
    <w:rsid w:val="00FE07D1"/>
    <w:rsid w:val="00FE08CF"/>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D16"/>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D2D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2D1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8042621">
      <w:bodyDiv w:val="1"/>
      <w:marLeft w:val="0"/>
      <w:marRight w:val="0"/>
      <w:marTop w:val="0"/>
      <w:marBottom w:val="0"/>
      <w:divBdr>
        <w:top w:val="none" w:sz="0" w:space="0" w:color="auto"/>
        <w:left w:val="none" w:sz="0" w:space="0" w:color="auto"/>
        <w:bottom w:val="none" w:sz="0" w:space="0" w:color="auto"/>
        <w:right w:val="none" w:sz="0" w:space="0" w:color="auto"/>
      </w:divBdr>
      <w:divsChild>
        <w:div w:id="1923642897">
          <w:marLeft w:val="360"/>
          <w:marRight w:val="0"/>
          <w:marTop w:val="200"/>
          <w:marBottom w:val="0"/>
          <w:divBdr>
            <w:top w:val="none" w:sz="0" w:space="0" w:color="auto"/>
            <w:left w:val="none" w:sz="0" w:space="0" w:color="auto"/>
            <w:bottom w:val="none" w:sz="0" w:space="0" w:color="auto"/>
            <w:right w:val="none" w:sz="0" w:space="0" w:color="auto"/>
          </w:divBdr>
        </w:div>
        <w:div w:id="2024017919">
          <w:marLeft w:val="360"/>
          <w:marRight w:val="0"/>
          <w:marTop w:val="200"/>
          <w:marBottom w:val="0"/>
          <w:divBdr>
            <w:top w:val="none" w:sz="0" w:space="0" w:color="auto"/>
            <w:left w:val="none" w:sz="0" w:space="0" w:color="auto"/>
            <w:bottom w:val="none" w:sz="0" w:space="0" w:color="auto"/>
            <w:right w:val="none" w:sz="0" w:space="0" w:color="auto"/>
          </w:divBdr>
        </w:div>
        <w:div w:id="1966154004">
          <w:marLeft w:val="360"/>
          <w:marRight w:val="0"/>
          <w:marTop w:val="200"/>
          <w:marBottom w:val="0"/>
          <w:divBdr>
            <w:top w:val="none" w:sz="0" w:space="0" w:color="auto"/>
            <w:left w:val="none" w:sz="0" w:space="0" w:color="auto"/>
            <w:bottom w:val="none" w:sz="0" w:space="0" w:color="auto"/>
            <w:right w:val="none" w:sz="0" w:space="0" w:color="auto"/>
          </w:divBdr>
        </w:div>
        <w:div w:id="1376586322">
          <w:marLeft w:val="108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652734">
      <w:bodyDiv w:val="1"/>
      <w:marLeft w:val="0"/>
      <w:marRight w:val="0"/>
      <w:marTop w:val="0"/>
      <w:marBottom w:val="0"/>
      <w:divBdr>
        <w:top w:val="none" w:sz="0" w:space="0" w:color="auto"/>
        <w:left w:val="none" w:sz="0" w:space="0" w:color="auto"/>
        <w:bottom w:val="none" w:sz="0" w:space="0" w:color="auto"/>
        <w:right w:val="none" w:sz="0" w:space="0" w:color="auto"/>
      </w:divBdr>
      <w:divsChild>
        <w:div w:id="547543">
          <w:marLeft w:val="1080"/>
          <w:marRight w:val="0"/>
          <w:marTop w:val="100"/>
          <w:marBottom w:val="0"/>
          <w:divBdr>
            <w:top w:val="none" w:sz="0" w:space="0" w:color="auto"/>
            <w:left w:val="none" w:sz="0" w:space="0" w:color="auto"/>
            <w:bottom w:val="none" w:sz="0" w:space="0" w:color="auto"/>
            <w:right w:val="none" w:sz="0" w:space="0" w:color="auto"/>
          </w:divBdr>
        </w:div>
        <w:div w:id="1988389302">
          <w:marLeft w:val="1800"/>
          <w:marRight w:val="0"/>
          <w:marTop w:val="1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2925868">
      <w:bodyDiv w:val="1"/>
      <w:marLeft w:val="0"/>
      <w:marRight w:val="0"/>
      <w:marTop w:val="0"/>
      <w:marBottom w:val="0"/>
      <w:divBdr>
        <w:top w:val="none" w:sz="0" w:space="0" w:color="auto"/>
        <w:left w:val="none" w:sz="0" w:space="0" w:color="auto"/>
        <w:bottom w:val="none" w:sz="0" w:space="0" w:color="auto"/>
        <w:right w:val="none" w:sz="0" w:space="0" w:color="auto"/>
      </w:divBdr>
      <w:divsChild>
        <w:div w:id="87771133">
          <w:marLeft w:val="360"/>
          <w:marRight w:val="0"/>
          <w:marTop w:val="200"/>
          <w:marBottom w:val="0"/>
          <w:divBdr>
            <w:top w:val="none" w:sz="0" w:space="0" w:color="auto"/>
            <w:left w:val="none" w:sz="0" w:space="0" w:color="auto"/>
            <w:bottom w:val="none" w:sz="0" w:space="0" w:color="auto"/>
            <w:right w:val="none" w:sz="0" w:space="0" w:color="auto"/>
          </w:divBdr>
        </w:div>
        <w:div w:id="1924754616">
          <w:marLeft w:val="1080"/>
          <w:marRight w:val="0"/>
          <w:marTop w:val="100"/>
          <w:marBottom w:val="0"/>
          <w:divBdr>
            <w:top w:val="none" w:sz="0" w:space="0" w:color="auto"/>
            <w:left w:val="none" w:sz="0" w:space="0" w:color="auto"/>
            <w:bottom w:val="none" w:sz="0" w:space="0" w:color="auto"/>
            <w:right w:val="none" w:sz="0" w:space="0" w:color="auto"/>
          </w:divBdr>
        </w:div>
        <w:div w:id="986203166">
          <w:marLeft w:val="1800"/>
          <w:marRight w:val="0"/>
          <w:marTop w:val="100"/>
          <w:marBottom w:val="0"/>
          <w:divBdr>
            <w:top w:val="none" w:sz="0" w:space="0" w:color="auto"/>
            <w:left w:val="none" w:sz="0" w:space="0" w:color="auto"/>
            <w:bottom w:val="none" w:sz="0" w:space="0" w:color="auto"/>
            <w:right w:val="none" w:sz="0" w:space="0" w:color="auto"/>
          </w:divBdr>
        </w:div>
        <w:div w:id="1467549979">
          <w:marLeft w:val="1800"/>
          <w:marRight w:val="0"/>
          <w:marTop w:val="100"/>
          <w:marBottom w:val="0"/>
          <w:divBdr>
            <w:top w:val="none" w:sz="0" w:space="0" w:color="auto"/>
            <w:left w:val="none" w:sz="0" w:space="0" w:color="auto"/>
            <w:bottom w:val="none" w:sz="0" w:space="0" w:color="auto"/>
            <w:right w:val="none" w:sz="0" w:space="0" w:color="auto"/>
          </w:divBdr>
        </w:div>
        <w:div w:id="1190997299">
          <w:marLeft w:val="1080"/>
          <w:marRight w:val="0"/>
          <w:marTop w:val="100"/>
          <w:marBottom w:val="0"/>
          <w:divBdr>
            <w:top w:val="none" w:sz="0" w:space="0" w:color="auto"/>
            <w:left w:val="none" w:sz="0" w:space="0" w:color="auto"/>
            <w:bottom w:val="none" w:sz="0" w:space="0" w:color="auto"/>
            <w:right w:val="none" w:sz="0" w:space="0" w:color="auto"/>
          </w:divBdr>
        </w:div>
        <w:div w:id="1767263454">
          <w:marLeft w:val="1800"/>
          <w:marRight w:val="0"/>
          <w:marTop w:val="100"/>
          <w:marBottom w:val="0"/>
          <w:divBdr>
            <w:top w:val="none" w:sz="0" w:space="0" w:color="auto"/>
            <w:left w:val="none" w:sz="0" w:space="0" w:color="auto"/>
            <w:bottom w:val="none" w:sz="0" w:space="0" w:color="auto"/>
            <w:right w:val="none" w:sz="0" w:space="0" w:color="auto"/>
          </w:divBdr>
        </w:div>
        <w:div w:id="2095592911">
          <w:marLeft w:val="1080"/>
          <w:marRight w:val="0"/>
          <w:marTop w:val="100"/>
          <w:marBottom w:val="0"/>
          <w:divBdr>
            <w:top w:val="none" w:sz="0" w:space="0" w:color="auto"/>
            <w:left w:val="none" w:sz="0" w:space="0" w:color="auto"/>
            <w:bottom w:val="none" w:sz="0" w:space="0" w:color="auto"/>
            <w:right w:val="none" w:sz="0" w:space="0" w:color="auto"/>
          </w:divBdr>
        </w:div>
        <w:div w:id="132412915">
          <w:marLeft w:val="180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0713843">
      <w:bodyDiv w:val="1"/>
      <w:marLeft w:val="0"/>
      <w:marRight w:val="0"/>
      <w:marTop w:val="0"/>
      <w:marBottom w:val="0"/>
      <w:divBdr>
        <w:top w:val="none" w:sz="0" w:space="0" w:color="auto"/>
        <w:left w:val="none" w:sz="0" w:space="0" w:color="auto"/>
        <w:bottom w:val="none" w:sz="0" w:space="0" w:color="auto"/>
        <w:right w:val="none" w:sz="0" w:space="0" w:color="auto"/>
      </w:divBdr>
      <w:divsChild>
        <w:div w:id="1085687184">
          <w:marLeft w:val="360"/>
          <w:marRight w:val="0"/>
          <w:marTop w:val="200"/>
          <w:marBottom w:val="0"/>
          <w:divBdr>
            <w:top w:val="none" w:sz="0" w:space="0" w:color="auto"/>
            <w:left w:val="none" w:sz="0" w:space="0" w:color="auto"/>
            <w:bottom w:val="none" w:sz="0" w:space="0" w:color="auto"/>
            <w:right w:val="none" w:sz="0" w:space="0" w:color="auto"/>
          </w:divBdr>
        </w:div>
        <w:div w:id="817578326">
          <w:marLeft w:val="1080"/>
          <w:marRight w:val="0"/>
          <w:marTop w:val="100"/>
          <w:marBottom w:val="0"/>
          <w:divBdr>
            <w:top w:val="none" w:sz="0" w:space="0" w:color="auto"/>
            <w:left w:val="none" w:sz="0" w:space="0" w:color="auto"/>
            <w:bottom w:val="none" w:sz="0" w:space="0" w:color="auto"/>
            <w:right w:val="none" w:sz="0" w:space="0" w:color="auto"/>
          </w:divBdr>
        </w:div>
        <w:div w:id="876510870">
          <w:marLeft w:val="1800"/>
          <w:marRight w:val="0"/>
          <w:marTop w:val="100"/>
          <w:marBottom w:val="0"/>
          <w:divBdr>
            <w:top w:val="none" w:sz="0" w:space="0" w:color="auto"/>
            <w:left w:val="none" w:sz="0" w:space="0" w:color="auto"/>
            <w:bottom w:val="none" w:sz="0" w:space="0" w:color="auto"/>
            <w:right w:val="none" w:sz="0" w:space="0" w:color="auto"/>
          </w:divBdr>
        </w:div>
        <w:div w:id="1322778998">
          <w:marLeft w:val="1080"/>
          <w:marRight w:val="0"/>
          <w:marTop w:val="100"/>
          <w:marBottom w:val="0"/>
          <w:divBdr>
            <w:top w:val="none" w:sz="0" w:space="0" w:color="auto"/>
            <w:left w:val="none" w:sz="0" w:space="0" w:color="auto"/>
            <w:bottom w:val="none" w:sz="0" w:space="0" w:color="auto"/>
            <w:right w:val="none" w:sz="0" w:space="0" w:color="auto"/>
          </w:divBdr>
        </w:div>
        <w:div w:id="1117409677">
          <w:marLeft w:val="1800"/>
          <w:marRight w:val="0"/>
          <w:marTop w:val="100"/>
          <w:marBottom w:val="0"/>
          <w:divBdr>
            <w:top w:val="none" w:sz="0" w:space="0" w:color="auto"/>
            <w:left w:val="none" w:sz="0" w:space="0" w:color="auto"/>
            <w:bottom w:val="none" w:sz="0" w:space="0" w:color="auto"/>
            <w:right w:val="none" w:sz="0" w:space="0" w:color="auto"/>
          </w:divBdr>
        </w:div>
        <w:div w:id="1313411610">
          <w:marLeft w:val="1800"/>
          <w:marRight w:val="0"/>
          <w:marTop w:val="100"/>
          <w:marBottom w:val="0"/>
          <w:divBdr>
            <w:top w:val="none" w:sz="0" w:space="0" w:color="auto"/>
            <w:left w:val="none" w:sz="0" w:space="0" w:color="auto"/>
            <w:bottom w:val="none" w:sz="0" w:space="0" w:color="auto"/>
            <w:right w:val="none" w:sz="0" w:space="0" w:color="auto"/>
          </w:divBdr>
        </w:div>
        <w:div w:id="800612251">
          <w:marLeft w:val="1080"/>
          <w:marRight w:val="0"/>
          <w:marTop w:val="100"/>
          <w:marBottom w:val="0"/>
          <w:divBdr>
            <w:top w:val="none" w:sz="0" w:space="0" w:color="auto"/>
            <w:left w:val="none" w:sz="0" w:space="0" w:color="auto"/>
            <w:bottom w:val="none" w:sz="0" w:space="0" w:color="auto"/>
            <w:right w:val="none" w:sz="0" w:space="0" w:color="auto"/>
          </w:divBdr>
        </w:div>
        <w:div w:id="1999116725">
          <w:marLeft w:val="1800"/>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2454580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38828767">
      <w:bodyDiv w:val="1"/>
      <w:marLeft w:val="0"/>
      <w:marRight w:val="0"/>
      <w:marTop w:val="0"/>
      <w:marBottom w:val="0"/>
      <w:divBdr>
        <w:top w:val="none" w:sz="0" w:space="0" w:color="auto"/>
        <w:left w:val="none" w:sz="0" w:space="0" w:color="auto"/>
        <w:bottom w:val="none" w:sz="0" w:space="0" w:color="auto"/>
        <w:right w:val="none" w:sz="0" w:space="0" w:color="auto"/>
      </w:divBdr>
      <w:divsChild>
        <w:div w:id="297419709">
          <w:marLeft w:val="360"/>
          <w:marRight w:val="0"/>
          <w:marTop w:val="200"/>
          <w:marBottom w:val="0"/>
          <w:divBdr>
            <w:top w:val="none" w:sz="0" w:space="0" w:color="auto"/>
            <w:left w:val="none" w:sz="0" w:space="0" w:color="auto"/>
            <w:bottom w:val="none" w:sz="0" w:space="0" w:color="auto"/>
            <w:right w:val="none" w:sz="0" w:space="0" w:color="auto"/>
          </w:divBdr>
        </w:div>
        <w:div w:id="1828746852">
          <w:marLeft w:val="360"/>
          <w:marRight w:val="0"/>
          <w:marTop w:val="200"/>
          <w:marBottom w:val="0"/>
          <w:divBdr>
            <w:top w:val="none" w:sz="0" w:space="0" w:color="auto"/>
            <w:left w:val="none" w:sz="0" w:space="0" w:color="auto"/>
            <w:bottom w:val="none" w:sz="0" w:space="0" w:color="auto"/>
            <w:right w:val="none" w:sz="0" w:space="0" w:color="auto"/>
          </w:divBdr>
        </w:div>
        <w:div w:id="1039860828">
          <w:marLeft w:val="1080"/>
          <w:marRight w:val="0"/>
          <w:marTop w:val="100"/>
          <w:marBottom w:val="0"/>
          <w:divBdr>
            <w:top w:val="none" w:sz="0" w:space="0" w:color="auto"/>
            <w:left w:val="none" w:sz="0" w:space="0" w:color="auto"/>
            <w:bottom w:val="none" w:sz="0" w:space="0" w:color="auto"/>
            <w:right w:val="none" w:sz="0" w:space="0" w:color="auto"/>
          </w:divBdr>
        </w:div>
        <w:div w:id="2034382741">
          <w:marLeft w:val="1080"/>
          <w:marRight w:val="0"/>
          <w:marTop w:val="100"/>
          <w:marBottom w:val="0"/>
          <w:divBdr>
            <w:top w:val="none" w:sz="0" w:space="0" w:color="auto"/>
            <w:left w:val="none" w:sz="0" w:space="0" w:color="auto"/>
            <w:bottom w:val="none" w:sz="0" w:space="0" w:color="auto"/>
            <w:right w:val="none" w:sz="0" w:space="0" w:color="auto"/>
          </w:divBdr>
        </w:div>
        <w:div w:id="1803381678">
          <w:marLeft w:val="1080"/>
          <w:marRight w:val="0"/>
          <w:marTop w:val="100"/>
          <w:marBottom w:val="0"/>
          <w:divBdr>
            <w:top w:val="none" w:sz="0" w:space="0" w:color="auto"/>
            <w:left w:val="none" w:sz="0" w:space="0" w:color="auto"/>
            <w:bottom w:val="none" w:sz="0" w:space="0" w:color="auto"/>
            <w:right w:val="none" w:sz="0" w:space="0" w:color="auto"/>
          </w:divBdr>
        </w:div>
        <w:div w:id="1480535109">
          <w:marLeft w:val="1080"/>
          <w:marRight w:val="0"/>
          <w:marTop w:val="100"/>
          <w:marBottom w:val="0"/>
          <w:divBdr>
            <w:top w:val="none" w:sz="0" w:space="0" w:color="auto"/>
            <w:left w:val="none" w:sz="0" w:space="0" w:color="auto"/>
            <w:bottom w:val="none" w:sz="0" w:space="0" w:color="auto"/>
            <w:right w:val="none" w:sz="0" w:space="0" w:color="auto"/>
          </w:divBdr>
        </w:div>
        <w:div w:id="760953724">
          <w:marLeft w:val="360"/>
          <w:marRight w:val="0"/>
          <w:marTop w:val="200"/>
          <w:marBottom w:val="0"/>
          <w:divBdr>
            <w:top w:val="none" w:sz="0" w:space="0" w:color="auto"/>
            <w:left w:val="none" w:sz="0" w:space="0" w:color="auto"/>
            <w:bottom w:val="none" w:sz="0" w:space="0" w:color="auto"/>
            <w:right w:val="none" w:sz="0" w:space="0" w:color="auto"/>
          </w:divBdr>
        </w:div>
        <w:div w:id="1231113839">
          <w:marLeft w:val="1080"/>
          <w:marRight w:val="0"/>
          <w:marTop w:val="100"/>
          <w:marBottom w:val="0"/>
          <w:divBdr>
            <w:top w:val="none" w:sz="0" w:space="0" w:color="auto"/>
            <w:left w:val="none" w:sz="0" w:space="0" w:color="auto"/>
            <w:bottom w:val="none" w:sz="0" w:space="0" w:color="auto"/>
            <w:right w:val="none" w:sz="0" w:space="0" w:color="auto"/>
          </w:divBdr>
        </w:div>
        <w:div w:id="1475947328">
          <w:marLeft w:val="1080"/>
          <w:marRight w:val="0"/>
          <w:marTop w:val="100"/>
          <w:marBottom w:val="0"/>
          <w:divBdr>
            <w:top w:val="none" w:sz="0" w:space="0" w:color="auto"/>
            <w:left w:val="none" w:sz="0" w:space="0" w:color="auto"/>
            <w:bottom w:val="none" w:sz="0" w:space="0" w:color="auto"/>
            <w:right w:val="none" w:sz="0" w:space="0" w:color="auto"/>
          </w:divBdr>
        </w:div>
        <w:div w:id="669217523">
          <w:marLeft w:val="1080"/>
          <w:marRight w:val="0"/>
          <w:marTop w:val="100"/>
          <w:marBottom w:val="0"/>
          <w:divBdr>
            <w:top w:val="none" w:sz="0" w:space="0" w:color="auto"/>
            <w:left w:val="none" w:sz="0" w:space="0" w:color="auto"/>
            <w:bottom w:val="none" w:sz="0" w:space="0" w:color="auto"/>
            <w:right w:val="none" w:sz="0" w:space="0" w:color="auto"/>
          </w:divBdr>
        </w:div>
        <w:div w:id="678510221">
          <w:marLeft w:val="360"/>
          <w:marRight w:val="0"/>
          <w:marTop w:val="200"/>
          <w:marBottom w:val="0"/>
          <w:divBdr>
            <w:top w:val="none" w:sz="0" w:space="0" w:color="auto"/>
            <w:left w:val="none" w:sz="0" w:space="0" w:color="auto"/>
            <w:bottom w:val="none" w:sz="0" w:space="0" w:color="auto"/>
            <w:right w:val="none" w:sz="0" w:space="0" w:color="auto"/>
          </w:divBdr>
        </w:div>
        <w:div w:id="1561939163">
          <w:marLeft w:val="1080"/>
          <w:marRight w:val="0"/>
          <w:marTop w:val="100"/>
          <w:marBottom w:val="0"/>
          <w:divBdr>
            <w:top w:val="none" w:sz="0" w:space="0" w:color="auto"/>
            <w:left w:val="none" w:sz="0" w:space="0" w:color="auto"/>
            <w:bottom w:val="none" w:sz="0" w:space="0" w:color="auto"/>
            <w:right w:val="none" w:sz="0" w:space="0" w:color="auto"/>
          </w:divBdr>
        </w:div>
        <w:div w:id="262109975">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1222071">
      <w:bodyDiv w:val="1"/>
      <w:marLeft w:val="0"/>
      <w:marRight w:val="0"/>
      <w:marTop w:val="0"/>
      <w:marBottom w:val="0"/>
      <w:divBdr>
        <w:top w:val="none" w:sz="0" w:space="0" w:color="auto"/>
        <w:left w:val="none" w:sz="0" w:space="0" w:color="auto"/>
        <w:bottom w:val="none" w:sz="0" w:space="0" w:color="auto"/>
        <w:right w:val="none" w:sz="0" w:space="0" w:color="auto"/>
      </w:divBdr>
      <w:divsChild>
        <w:div w:id="1205678103">
          <w:marLeft w:val="360"/>
          <w:marRight w:val="0"/>
          <w:marTop w:val="200"/>
          <w:marBottom w:val="0"/>
          <w:divBdr>
            <w:top w:val="none" w:sz="0" w:space="0" w:color="auto"/>
            <w:left w:val="none" w:sz="0" w:space="0" w:color="auto"/>
            <w:bottom w:val="none" w:sz="0" w:space="0" w:color="auto"/>
            <w:right w:val="none" w:sz="0" w:space="0" w:color="auto"/>
          </w:divBdr>
        </w:div>
        <w:div w:id="1726905275">
          <w:marLeft w:val="360"/>
          <w:marRight w:val="0"/>
          <w:marTop w:val="200"/>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2284804">
      <w:bodyDiv w:val="1"/>
      <w:marLeft w:val="0"/>
      <w:marRight w:val="0"/>
      <w:marTop w:val="0"/>
      <w:marBottom w:val="0"/>
      <w:divBdr>
        <w:top w:val="none" w:sz="0" w:space="0" w:color="auto"/>
        <w:left w:val="none" w:sz="0" w:space="0" w:color="auto"/>
        <w:bottom w:val="none" w:sz="0" w:space="0" w:color="auto"/>
        <w:right w:val="none" w:sz="0" w:space="0" w:color="auto"/>
      </w:divBdr>
      <w:divsChild>
        <w:div w:id="1979214976">
          <w:marLeft w:val="360"/>
          <w:marRight w:val="0"/>
          <w:marTop w:val="200"/>
          <w:marBottom w:val="0"/>
          <w:divBdr>
            <w:top w:val="none" w:sz="0" w:space="0" w:color="auto"/>
            <w:left w:val="none" w:sz="0" w:space="0" w:color="auto"/>
            <w:bottom w:val="none" w:sz="0" w:space="0" w:color="auto"/>
            <w:right w:val="none" w:sz="0" w:space="0" w:color="auto"/>
          </w:divBdr>
        </w:div>
        <w:div w:id="1274438422">
          <w:marLeft w:val="1080"/>
          <w:marRight w:val="0"/>
          <w:marTop w:val="100"/>
          <w:marBottom w:val="0"/>
          <w:divBdr>
            <w:top w:val="none" w:sz="0" w:space="0" w:color="auto"/>
            <w:left w:val="none" w:sz="0" w:space="0" w:color="auto"/>
            <w:bottom w:val="none" w:sz="0" w:space="0" w:color="auto"/>
            <w:right w:val="none" w:sz="0" w:space="0" w:color="auto"/>
          </w:divBdr>
        </w:div>
        <w:div w:id="477649717">
          <w:marLeft w:val="360"/>
          <w:marRight w:val="0"/>
          <w:marTop w:val="200"/>
          <w:marBottom w:val="0"/>
          <w:divBdr>
            <w:top w:val="none" w:sz="0" w:space="0" w:color="auto"/>
            <w:left w:val="none" w:sz="0" w:space="0" w:color="auto"/>
            <w:bottom w:val="none" w:sz="0" w:space="0" w:color="auto"/>
            <w:right w:val="none" w:sz="0" w:space="0" w:color="auto"/>
          </w:divBdr>
        </w:div>
        <w:div w:id="2057700207">
          <w:marLeft w:val="1080"/>
          <w:marRight w:val="0"/>
          <w:marTop w:val="100"/>
          <w:marBottom w:val="0"/>
          <w:divBdr>
            <w:top w:val="none" w:sz="0" w:space="0" w:color="auto"/>
            <w:left w:val="none" w:sz="0" w:space="0" w:color="auto"/>
            <w:bottom w:val="none" w:sz="0" w:space="0" w:color="auto"/>
            <w:right w:val="none" w:sz="0" w:space="0" w:color="auto"/>
          </w:divBdr>
        </w:div>
        <w:div w:id="246427698">
          <w:marLeft w:val="1800"/>
          <w:marRight w:val="0"/>
          <w:marTop w:val="100"/>
          <w:marBottom w:val="0"/>
          <w:divBdr>
            <w:top w:val="none" w:sz="0" w:space="0" w:color="auto"/>
            <w:left w:val="none" w:sz="0" w:space="0" w:color="auto"/>
            <w:bottom w:val="none" w:sz="0" w:space="0" w:color="auto"/>
            <w:right w:val="none" w:sz="0" w:space="0" w:color="auto"/>
          </w:divBdr>
        </w:div>
        <w:div w:id="1266690453">
          <w:marLeft w:val="1080"/>
          <w:marRight w:val="0"/>
          <w:marTop w:val="100"/>
          <w:marBottom w:val="0"/>
          <w:divBdr>
            <w:top w:val="none" w:sz="0" w:space="0" w:color="auto"/>
            <w:left w:val="none" w:sz="0" w:space="0" w:color="auto"/>
            <w:bottom w:val="none" w:sz="0" w:space="0" w:color="auto"/>
            <w:right w:val="none" w:sz="0" w:space="0" w:color="auto"/>
          </w:divBdr>
        </w:div>
        <w:div w:id="1354384879">
          <w:marLeft w:val="1800"/>
          <w:marRight w:val="0"/>
          <w:marTop w:val="100"/>
          <w:marBottom w:val="0"/>
          <w:divBdr>
            <w:top w:val="none" w:sz="0" w:space="0" w:color="auto"/>
            <w:left w:val="none" w:sz="0" w:space="0" w:color="auto"/>
            <w:bottom w:val="none" w:sz="0" w:space="0" w:color="auto"/>
            <w:right w:val="none" w:sz="0" w:space="0" w:color="auto"/>
          </w:divBdr>
        </w:div>
        <w:div w:id="98379744">
          <w:marLeft w:val="1800"/>
          <w:marRight w:val="0"/>
          <w:marTop w:val="100"/>
          <w:marBottom w:val="0"/>
          <w:divBdr>
            <w:top w:val="none" w:sz="0" w:space="0" w:color="auto"/>
            <w:left w:val="none" w:sz="0" w:space="0" w:color="auto"/>
            <w:bottom w:val="none" w:sz="0" w:space="0" w:color="auto"/>
            <w:right w:val="none" w:sz="0" w:space="0" w:color="auto"/>
          </w:divBdr>
        </w:div>
        <w:div w:id="178006517">
          <w:marLeft w:val="360"/>
          <w:marRight w:val="0"/>
          <w:marTop w:val="200"/>
          <w:marBottom w:val="0"/>
          <w:divBdr>
            <w:top w:val="none" w:sz="0" w:space="0" w:color="auto"/>
            <w:left w:val="none" w:sz="0" w:space="0" w:color="auto"/>
            <w:bottom w:val="none" w:sz="0" w:space="0" w:color="auto"/>
            <w:right w:val="none" w:sz="0" w:space="0" w:color="auto"/>
          </w:divBdr>
        </w:div>
        <w:div w:id="210659117">
          <w:marLeft w:val="1080"/>
          <w:marRight w:val="0"/>
          <w:marTop w:val="100"/>
          <w:marBottom w:val="0"/>
          <w:divBdr>
            <w:top w:val="none" w:sz="0" w:space="0" w:color="auto"/>
            <w:left w:val="none" w:sz="0" w:space="0" w:color="auto"/>
            <w:bottom w:val="none" w:sz="0" w:space="0" w:color="auto"/>
            <w:right w:val="none" w:sz="0" w:space="0" w:color="auto"/>
          </w:divBdr>
        </w:div>
        <w:div w:id="2018729450">
          <w:marLeft w:val="1080"/>
          <w:marRight w:val="0"/>
          <w:marTop w:val="100"/>
          <w:marBottom w:val="0"/>
          <w:divBdr>
            <w:top w:val="none" w:sz="0" w:space="0" w:color="auto"/>
            <w:left w:val="none" w:sz="0" w:space="0" w:color="auto"/>
            <w:bottom w:val="none" w:sz="0" w:space="0" w:color="auto"/>
            <w:right w:val="none" w:sz="0" w:space="0" w:color="auto"/>
          </w:divBdr>
        </w:div>
        <w:div w:id="1901284143">
          <w:marLeft w:val="108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5B7D9-8D46-4290-9214-F1624F5AF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2020-05-15T04:00:00Z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